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2A8A" w14:textId="77777777" w:rsidR="00E4538C" w:rsidRPr="00E4538C" w:rsidRDefault="00E4538C" w:rsidP="00F020A8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E4538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ПРЕСТЪПЛЕНИЯ, ОБВИНЯЕМИ И ОСЪДЕНИ ЛИЦА </w:t>
      </w:r>
    </w:p>
    <w:p w14:paraId="522C92E2" w14:textId="3CFA8C65" w:rsidR="003D5F6D" w:rsidRDefault="00E4538C" w:rsidP="00F020A8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 2023 ГОДИНА</w:t>
      </w:r>
    </w:p>
    <w:p w14:paraId="7FF4DE83" w14:textId="51F610A3" w:rsidR="00E4538C" w:rsidRDefault="00E4538C" w:rsidP="0029023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През 2023 г. са приключили делата за 29 674 извършени </w:t>
      </w:r>
      <w:r w:rsidRPr="00E4538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</w:t>
      </w: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От тях 10 278 са завършили с ефективно осъждане, 14 891 - с условно осъждане, 666 - с оправдаване, 282 - с прекратяване, и 3 647 - с освобождаване от наказание.</w:t>
      </w:r>
    </w:p>
    <w:p w14:paraId="67E92F1B" w14:textId="3F819A00" w:rsidR="00A6320E" w:rsidRPr="00A6320E" w:rsidRDefault="00A6320E" w:rsidP="0029023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A632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С ефективни и условни присъди са приключили делата за </w:t>
      </w:r>
      <w:r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25 169</w:t>
      </w:r>
      <w:r w:rsidRPr="00A6320E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извършени престъпления</w:t>
      </w:r>
      <w:r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.</w:t>
      </w:r>
    </w:p>
    <w:p w14:paraId="3C457287" w14:textId="0894EE8B" w:rsidR="00E4538C" w:rsidRPr="00E4538C" w:rsidRDefault="00E4538C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През 2023 г. </w:t>
      </w:r>
      <w:r w:rsidRPr="00E4538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обвиняеми</w:t>
      </w:r>
      <w:r w:rsidR="000E368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били 27</w:t>
      </w: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676 лица, от които:</w:t>
      </w:r>
    </w:p>
    <w:p w14:paraId="4F477344" w14:textId="77777777" w:rsidR="00E4538C" w:rsidRPr="00E4538C" w:rsidRDefault="00E4538C" w:rsidP="00281FD6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с ефективна осъдителна присъда са приключили делата на 9 265 лица, или 33.5% от общия брой на обвиняемите;</w:t>
      </w:r>
    </w:p>
    <w:p w14:paraId="031DE9D3" w14:textId="43C3E49D" w:rsidR="00E4538C" w:rsidRPr="00E4538C" w:rsidRDefault="00E4538C" w:rsidP="00281FD6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условно осъдени са 13 772 (49.8%);</w:t>
      </w:r>
    </w:p>
    <w:p w14:paraId="2D9FE945" w14:textId="4D2623A4" w:rsidR="00E4538C" w:rsidRPr="00E4538C" w:rsidRDefault="00E4538C" w:rsidP="00281FD6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освободени от наказателна отговорност са 3 766 (13.6%);</w:t>
      </w:r>
    </w:p>
    <w:p w14:paraId="6AC4B696" w14:textId="4B3224CB" w:rsidR="00E4538C" w:rsidRPr="00E4538C" w:rsidRDefault="00E4538C" w:rsidP="00281FD6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оправдани са 573 обвиняеми (2.0%);</w:t>
      </w:r>
    </w:p>
    <w:p w14:paraId="179D8404" w14:textId="03DAC328" w:rsidR="00E4538C" w:rsidRPr="00E4538C" w:rsidRDefault="00E4538C" w:rsidP="00281FD6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прекратени са делата на 300</w:t>
      </w:r>
      <w:r w:rsidR="005827E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лица (1.1%).</w:t>
      </w:r>
    </w:p>
    <w:p w14:paraId="10DE5A1C" w14:textId="1CEF4BE7" w:rsidR="00E4538C" w:rsidRDefault="00E4538C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Броят на </w:t>
      </w:r>
      <w:r w:rsidRPr="00E4538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осъдените</w:t>
      </w: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 влезли в сила </w:t>
      </w:r>
      <w:r w:rsidR="005827E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през годината </w:t>
      </w:r>
      <w:r w:rsidRPr="00E4538C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присъди е 23 037, което е с 4.2% по-малко в сравнение с 2022 година. Осъдените непълнолетни (14 - 17 години) са 748, или 3.2% от всички осъдени.</w:t>
      </w:r>
    </w:p>
    <w:p w14:paraId="41F7A45D" w14:textId="6BA8C08F" w:rsidR="00745CD0" w:rsidRDefault="00745CD0" w:rsidP="00F020A8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bookmarkStart w:id="1" w:name="OLE_LINK1"/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1. Престъпления, завършили с осъждане, и осъдени лица</w:t>
      </w:r>
      <w:r w:rsidR="00EC1F6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="00EC1F6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 </w:t>
      </w:r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r w:rsidR="00EC1F63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 </w:t>
      </w:r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201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9</w:t>
      </w:r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- 202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3</w:t>
      </w:r>
      <w:r w:rsidRPr="00745CD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година</w:t>
      </w:r>
      <w:bookmarkEnd w:id="1"/>
    </w:p>
    <w:p w14:paraId="110CB840" w14:textId="33360E85" w:rsidR="001D277B" w:rsidRPr="00281FD6" w:rsidRDefault="001D277B" w:rsidP="00281FD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25BD6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3BD7CC66" wp14:editId="5B9B4DB7">
            <wp:extent cx="5029200" cy="21717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0BD5F1" w14:textId="1FF0E212" w:rsidR="00E4538C" w:rsidRPr="006E35BB" w:rsidRDefault="00686AF7" w:rsidP="00F020A8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color w:val="295C61"/>
          <w:sz w:val="20"/>
          <w:szCs w:val="20"/>
          <w:lang w:eastAsia="bg-BG"/>
          <w14:textFill>
            <w14:gradFill>
              <w14:gsLst>
                <w14:gs w14:pos="0">
                  <w14:srgbClr w14:val="5B9BD5">
                    <w14:lumMod w14:val="5000"/>
                    <w14:lumOff w14:val="95000"/>
                  </w14:srgbClr>
                </w14:gs>
                <w14:gs w14:pos="74000">
                  <w14:srgbClr w14:val="5B9BD5">
                    <w14:lumMod w14:val="45000"/>
                    <w14:lumOff w14:val="55000"/>
                  </w14:srgbClr>
                </w14:gs>
                <w14:gs w14:pos="83000">
                  <w14:srgbClr w14:val="5B9BD5">
                    <w14:lumMod w14:val="45000"/>
                    <w14:lumOff w14:val="55000"/>
                  </w14:srgbClr>
                </w14:gs>
                <w14:gs w14:pos="100000">
                  <w14:srgbClr w14:val="5B9BD5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 w:rsidRPr="00686AF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Осъдените мъже са 21 167, или 91.9%, а жените - 1 870 (8.1%). Както сред мъжете, така и сред жените, най-голям е делът на осъдените във възрастовата група </w:t>
      </w:r>
      <w:r w:rsidRPr="00686AF7">
        <w:rPr>
          <w:rFonts w:ascii="Verdana" w:eastAsia="Times New Roman" w:hAnsi="Verdana" w:cs="Times New Roman"/>
          <w:bCs/>
          <w:sz w:val="20"/>
          <w:szCs w:val="20"/>
          <w:lang w:eastAsia="bg-BG"/>
        </w:rPr>
        <w:lastRenderedPageBreak/>
        <w:t>от 30 до 39 години - съответно 28.0% за мъжете и 32.1% за жените. На второ място при мъжете е групата от 18 до 24 г., а при жените - 40 - 49 г. (</w:t>
      </w:r>
      <w:r w:rsidR="001062E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686AF7">
        <w:rPr>
          <w:rFonts w:ascii="Verdana" w:eastAsia="Times New Roman" w:hAnsi="Verdana" w:cs="Times New Roman"/>
          <w:bCs/>
          <w:sz w:val="20"/>
          <w:szCs w:val="20"/>
          <w:lang w:eastAsia="bg-BG"/>
        </w:rPr>
        <w:t>фиг. 2).</w:t>
      </w:r>
    </w:p>
    <w:p w14:paraId="5B05D63C" w14:textId="0D83191F" w:rsidR="00686AF7" w:rsidRPr="00D36B8F" w:rsidRDefault="00686AF7" w:rsidP="00F020A8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bg-BG"/>
          <w14:textOutline w14:w="9525" w14:cap="rnd" w14:cmpd="sng" w14:algn="ctr">
            <w14:gradFill>
              <w14:gsLst>
                <w14:gs w14:pos="0">
                  <w14:schemeClr w14:val="bg2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  <w14:prstDash w14:val="solid"/>
            <w14:bevel/>
          </w14:textOutline>
        </w:rPr>
      </w:pPr>
      <w:r w:rsidRPr="00686AF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</w:t>
      </w:r>
      <w:r w:rsidRPr="00686AF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686AF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Структура на осъдените лица през 202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3</w:t>
      </w:r>
      <w:r w:rsidRPr="00686AF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 по пол и възрастови групи</w:t>
      </w:r>
    </w:p>
    <w:p w14:paraId="4B1EBAB7" w14:textId="4F6BDDC3" w:rsidR="00686AF7" w:rsidRPr="00290236" w:rsidRDefault="003F224C" w:rsidP="00281FD6">
      <w:pPr>
        <w:autoSpaceDE w:val="0"/>
        <w:autoSpaceDN w:val="0"/>
        <w:adjustRightInd w:val="0"/>
        <w:spacing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847FF0">
        <w:rPr>
          <w:rFonts w:ascii="Verdana" w:hAnsi="Verdana"/>
          <w:noProof/>
          <w:color w:val="FFFFFF" w:themeColor="background1"/>
          <w:sz w:val="14"/>
          <w:szCs w:val="14"/>
          <w:lang w:eastAsia="bg-BG"/>
        </w:rPr>
        <w:drawing>
          <wp:inline distT="0" distB="0" distL="0" distR="0" wp14:anchorId="48119A71" wp14:editId="1D5D349C">
            <wp:extent cx="4352925" cy="203835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D93D7A" w14:textId="5FDDBCCA" w:rsidR="00E87207" w:rsidRPr="00E87207" w:rsidRDefault="00E87207" w:rsidP="00F020A8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Коефициентът на криминална активност</w:t>
      </w:r>
      <w:bookmarkStart w:id="2" w:name="_Ref138839412"/>
      <w:r w:rsidRPr="00281FD6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bg-BG"/>
        </w:rPr>
        <w:footnoteReference w:id="1"/>
      </w:r>
      <w:bookmarkEnd w:id="2"/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е </w:t>
      </w:r>
      <w:r w:rsidR="008027AA"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411 </w:t>
      </w: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100 000 души от наказателноотговорното население (</w:t>
      </w:r>
      <w:r w:rsidR="001062E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виж </w:t>
      </w: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табл. 1). За мъжете стойността му е </w:t>
      </w:r>
      <w:r w:rsidR="008027AA"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794 </w:t>
      </w: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r w:rsidR="00C37770">
        <w:rPr>
          <w:rFonts w:ascii="Verdana" w:eastAsia="Times New Roman" w:hAnsi="Verdana" w:cs="Times New Roman"/>
          <w:bCs/>
          <w:sz w:val="20"/>
          <w:szCs w:val="20"/>
          <w:lang w:eastAsia="bg-BG"/>
        </w:rPr>
        <w:br/>
      </w:r>
      <w:r w:rsidR="00197664"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100</w:t>
      </w:r>
      <w:r w:rsidR="0019766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000 души, а за жените - </w:t>
      </w:r>
      <w:r w:rsidR="008027AA"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64</w:t>
      </w:r>
      <w:r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на 100 000 души от съответното население</w:t>
      </w:r>
      <w:r w:rsidRPr="00290236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30135F" w:rsidRPr="0030135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30135F" w:rsidRPr="00281FD6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Коефициентът на криминална активност за непълнолетните е 290 на 100 000 от населението в тази възрастова група.</w:t>
      </w:r>
    </w:p>
    <w:p w14:paraId="300B1D2B" w14:textId="44F758B6" w:rsidR="00E87207" w:rsidRPr="00281FD6" w:rsidRDefault="00AE5AF8" w:rsidP="00F92261">
      <w:pPr>
        <w:keepNext/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</w:t>
      </w:r>
      <w:r w:rsidR="007951ED"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аблица</w:t>
      </w:r>
      <w:r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1</w:t>
      </w:r>
      <w:r w:rsidR="00AD50FD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.</w:t>
      </w:r>
      <w:r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E87207"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Коефициенти на криминална активност на 100</w:t>
      </w:r>
      <w:r w:rsidR="00E87207" w:rsidRPr="00281FD6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E87207" w:rsidRPr="00281FD6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000 души по пол на осъдените 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085"/>
        <w:gridCol w:w="1102"/>
        <w:gridCol w:w="1081"/>
      </w:tblGrid>
      <w:tr w:rsidR="00153FC0" w:rsidRPr="00E87207" w14:paraId="1009006B" w14:textId="77777777" w:rsidTr="004D6E0A">
        <w:trPr>
          <w:trHeight w:hRule="exact"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754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Години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6F0" w14:textId="4C2954A9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4B5D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Мъже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EEC7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Жени</w:t>
            </w:r>
          </w:p>
        </w:tc>
      </w:tr>
      <w:tr w:rsidR="00153FC0" w:rsidRPr="00E87207" w14:paraId="7C41AA52" w14:textId="77777777" w:rsidTr="004D6E0A">
        <w:trPr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BE38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50C5" w14:textId="1D8F22AE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B05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468F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</w:tr>
      <w:tr w:rsidR="00153FC0" w:rsidRPr="00E87207" w14:paraId="2D72566C" w14:textId="77777777" w:rsidTr="004D6E0A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0BD7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32148" w14:textId="79F18809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8977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90EC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61</w:t>
            </w:r>
          </w:p>
        </w:tc>
      </w:tr>
      <w:tr w:rsidR="00153FC0" w:rsidRPr="00E87207" w14:paraId="7ED1F977" w14:textId="77777777" w:rsidTr="004D6E0A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38EA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2E05" w14:textId="18D08E1F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03474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40A6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64</w:t>
            </w:r>
          </w:p>
        </w:tc>
      </w:tr>
      <w:tr w:rsidR="00153FC0" w:rsidRPr="00E87207" w14:paraId="5B4DAB4D" w14:textId="77777777" w:rsidTr="004D6E0A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5047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8BFB" w14:textId="6A3B38E8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145F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417A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66</w:t>
            </w:r>
          </w:p>
        </w:tc>
      </w:tr>
      <w:tr w:rsidR="00153FC0" w:rsidRPr="00E87207" w14:paraId="61BAC7E7" w14:textId="77777777" w:rsidTr="004D6E0A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9BD6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2022</w:t>
            </w: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vertAlign w:val="superscript"/>
                <w:lang w:eastAsia="bg-BG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4C0A" w14:textId="7A4BFF85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5F9AA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7ED62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70</w:t>
            </w:r>
          </w:p>
        </w:tc>
      </w:tr>
      <w:tr w:rsidR="00153FC0" w:rsidRPr="00E87207" w14:paraId="67F800D6" w14:textId="77777777" w:rsidTr="004D6E0A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DA0F" w14:textId="77777777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155EE" w14:textId="393185E5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5531" w14:textId="5F678291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0874" w14:textId="7453C333" w:rsidR="00153FC0" w:rsidRPr="00281FD6" w:rsidRDefault="00153FC0" w:rsidP="00281FD6">
            <w:pPr>
              <w:autoSpaceDE w:val="0"/>
              <w:autoSpaceDN w:val="0"/>
              <w:adjustRightInd w:val="0"/>
              <w:spacing w:after="160" w:line="360" w:lineRule="auto"/>
              <w:ind w:left="-142" w:firstLine="567"/>
              <w:jc w:val="right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  <w:r w:rsidRPr="00281FD6"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  <w:t>64</w:t>
            </w:r>
          </w:p>
        </w:tc>
      </w:tr>
    </w:tbl>
    <w:p w14:paraId="69184A44" w14:textId="77777777" w:rsidR="0030135F" w:rsidRDefault="0030135F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14:paraId="191518B4" w14:textId="6800DC38" w:rsidR="00613660" w:rsidRPr="00613660" w:rsidRDefault="00613660" w:rsidP="00F020A8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61366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Престъпления, завършили с осъждане, и осъдени лица по глави от Наказателния кодекс (НК) и някои видове престъпления през 2023 година</w:t>
      </w:r>
    </w:p>
    <w:p w14:paraId="596173DA" w14:textId="29F65FFD" w:rsidR="00613660" w:rsidRDefault="00613660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Сред престъпленията, завършили с осъждане, най-голям е броят и делът на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общоопасните</w:t>
      </w: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- 12 543, или 49.8%</w:t>
      </w:r>
      <w:r w:rsidR="00D0159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(виж фиг.</w:t>
      </w:r>
      <w:r w:rsidR="00397BC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78591F">
        <w:rPr>
          <w:rFonts w:ascii="Verdana" w:eastAsia="Times New Roman" w:hAnsi="Verdana" w:cs="Times New Roman"/>
          <w:bCs/>
          <w:sz w:val="20"/>
          <w:szCs w:val="20"/>
          <w:lang w:eastAsia="bg-BG"/>
        </w:rPr>
        <w:t>3</w:t>
      </w:r>
      <w:r w:rsidR="00D0159B">
        <w:rPr>
          <w:rFonts w:ascii="Verdana" w:eastAsia="Times New Roman" w:hAnsi="Verdana" w:cs="Times New Roman"/>
          <w:bCs/>
          <w:sz w:val="20"/>
          <w:szCs w:val="20"/>
          <w:lang w:eastAsia="bg-BG"/>
        </w:rPr>
        <w:t>)</w:t>
      </w: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 На второ място в структурата са </w:t>
      </w: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lastRenderedPageBreak/>
        <w:t xml:space="preserve">престъпленията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против собствеността</w:t>
      </w: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като с осъдителна присъда са приключили делата за 4</w:t>
      </w:r>
      <w:r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r w:rsidRPr="00613660">
        <w:rPr>
          <w:rFonts w:ascii="Verdana" w:eastAsia="Times New Roman" w:hAnsi="Verdana" w:cs="Times New Roman"/>
          <w:bCs/>
          <w:sz w:val="20"/>
          <w:szCs w:val="20"/>
          <w:lang w:eastAsia="bg-BG"/>
        </w:rPr>
        <w:t>748, или 18.9%.</w:t>
      </w:r>
    </w:p>
    <w:p w14:paraId="367C660E" w14:textId="77777777" w:rsidR="00950070" w:rsidRPr="009F50F9" w:rsidRDefault="00950070" w:rsidP="0095007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С осъждане са завършили 2 713 престъпления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против дейността на държавни органи, обществени организации и лица, изпълняващи публични функции</w:t>
      </w: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което представлява 10.8% от всички наказани престъпления.</w:t>
      </w:r>
    </w:p>
    <w:p w14:paraId="5D63E9C5" w14:textId="77777777" w:rsidR="00950070" w:rsidRPr="009F50F9" w:rsidRDefault="00950070" w:rsidP="0095007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Наказани са и 1 860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 против личността</w:t>
      </w: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(7.4%), 939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против стопанството</w:t>
      </w: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(3.7%) и 951 </w:t>
      </w:r>
      <w:r w:rsidRPr="009F50F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документни престъпления</w:t>
      </w:r>
      <w:r w:rsidRPr="009F50F9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(3.8%).</w:t>
      </w:r>
    </w:p>
    <w:p w14:paraId="61F8E40C" w14:textId="77777777" w:rsidR="008711ED" w:rsidRPr="001A2B87" w:rsidRDefault="008711ED" w:rsidP="00281FD6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1A2B8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Структура на престъпленията, завършили с осъждане през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1A2B8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2023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1A2B8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г. по глави от НК</w:t>
      </w:r>
    </w:p>
    <w:p w14:paraId="20721A5F" w14:textId="23705A3C" w:rsidR="00613660" w:rsidRDefault="00B91D3D" w:rsidP="00281FD6">
      <w:pPr>
        <w:autoSpaceDE w:val="0"/>
        <w:autoSpaceDN w:val="0"/>
        <w:adjustRightInd w:val="0"/>
        <w:spacing w:after="16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5564E5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3A068412" wp14:editId="7E959864">
            <wp:extent cx="5848865" cy="3575221"/>
            <wp:effectExtent l="0" t="0" r="0" b="63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7BB02B" w14:textId="610BE2AE" w:rsidR="002A4C04" w:rsidRPr="00377417" w:rsidRDefault="002A4C0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Почти половината от осъдените са наказани за извършването на </w:t>
      </w:r>
      <w:r w:rsidRPr="0037741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общоопасни</w:t>
      </w:r>
      <w:r w:rsidR="00307AB0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престъпления - 11 02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>2, или 47.8%</w:t>
      </w: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(виж фиг.</w:t>
      </w:r>
      <w:r w:rsidR="00397BC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>4)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 На второ място в структурата са осъдените за </w:t>
      </w:r>
      <w:r w:rsidRPr="0037741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 против собствеността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- 5 069 лица (22.0%).</w:t>
      </w:r>
    </w:p>
    <w:p w14:paraId="2B224281" w14:textId="77777777" w:rsidR="002A4C04" w:rsidRPr="00377417" w:rsidRDefault="002A4C04" w:rsidP="00F020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За извършването на престъпления </w:t>
      </w:r>
      <w:r w:rsidRPr="0037741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против дейността на държавни органи и обществени организации и лица, изпълняващи публични функции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наказани 2 559 лица, или 11.1%. Осъдени за </w:t>
      </w:r>
      <w:r w:rsidRPr="0037741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 против личността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1</w:t>
      </w: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455 (6.3%), за </w:t>
      </w:r>
      <w:r w:rsidRPr="0037741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престъпления против стопанството</w:t>
      </w:r>
      <w:r w:rsidRPr="0037741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- 896 лица (3.9%). </w:t>
      </w:r>
    </w:p>
    <w:p w14:paraId="77977505" w14:textId="77777777" w:rsidR="00C77A35" w:rsidRPr="00C77A35" w:rsidRDefault="00C77A35" w:rsidP="0099049F">
      <w:pPr>
        <w:keepNext/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C77A3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Фиг. 4. Структура на осъдените лица през 2023 г. по глави от НК</w:t>
      </w:r>
    </w:p>
    <w:p w14:paraId="7B8077CC" w14:textId="0CB0F25A" w:rsidR="00E4538C" w:rsidRDefault="00704E3B" w:rsidP="0002234A">
      <w:pPr>
        <w:autoSpaceDE w:val="0"/>
        <w:autoSpaceDN w:val="0"/>
        <w:adjustRightInd w:val="0"/>
        <w:spacing w:after="160" w:line="360" w:lineRule="auto"/>
        <w:ind w:left="-142" w:firstLine="567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752095">
        <w:rPr>
          <w:rFonts w:ascii="Verdana" w:hAnsi="Verdana"/>
          <w:noProof/>
          <w:sz w:val="14"/>
          <w:szCs w:val="14"/>
          <w:lang w:eastAsia="bg-BG"/>
        </w:rPr>
        <w:drawing>
          <wp:inline distT="0" distB="0" distL="0" distR="0" wp14:anchorId="2D57580E" wp14:editId="44890139">
            <wp:extent cx="4900930" cy="3541738"/>
            <wp:effectExtent l="0" t="0" r="0" b="190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2FE666" w14:textId="77777777" w:rsidR="00D80D27" w:rsidRPr="00D80D27" w:rsidRDefault="00D80D27" w:rsidP="00F020A8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Общоопасни престъпления</w:t>
      </w:r>
      <w:r w:rsidRPr="00D80D2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</w:p>
    <w:p w14:paraId="5DA68F83" w14:textId="7B79B0A3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структурата на общоопасните престъпления най-голям е броят на наказаните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престъпления по транспорта и съобщенията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- 8 622, или 68.7% от общия им брой. За извършването им са осъдени 7 626 лица, или 69.2% от осъдените за извършени общоопасни престъпления.</w:t>
      </w:r>
    </w:p>
    <w:p w14:paraId="59DC7C7A" w14:textId="5A90FAF4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Престъпленията, свързани с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наркотици,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са 3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341 (26.6%), 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наказаните за тях - 2 869 (26.0%).</w:t>
      </w:r>
    </w:p>
    <w:p w14:paraId="701475AC" w14:textId="77777777" w:rsidR="00D80D27" w:rsidRPr="00D80D27" w:rsidRDefault="00D80D27" w:rsidP="00F020A8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Престъпления против собствеността</w:t>
      </w:r>
      <w:r w:rsidRPr="00D80D2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4"/>
      </w:r>
    </w:p>
    <w:p w14:paraId="5BF346C9" w14:textId="6DA825FE" w:rsidR="00D80D27" w:rsidRPr="00D80D27" w:rsidRDefault="00D80D27" w:rsidP="0029023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Сред престъпленията против собствеността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най-разпространени са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кражбите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на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br/>
        <w:t>имущество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- 69.5%. Осъдените за този вид престъпление са 3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663 лица</w:t>
      </w:r>
      <w:r w:rsidRPr="00D80D27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или 72.3%.</w:t>
      </w:r>
    </w:p>
    <w:p w14:paraId="1EEF7E3D" w14:textId="6DAE6BDB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своята правна и криминална характеристика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грабежите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сред най-тежките престъпления против собствеността - за 455 грабежа са осъдени 512 лица.</w:t>
      </w:r>
    </w:p>
    <w:p w14:paraId="158BDD2A" w14:textId="77777777" w:rsidR="00D80D27" w:rsidRPr="00D80D27" w:rsidRDefault="00D80D27" w:rsidP="00F020A8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Престъпления против дейността на държавни органи и обществени организации и лица, изпълняващи публични функции</w:t>
      </w:r>
      <w:r w:rsidRPr="00D80D2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5"/>
      </w:r>
    </w:p>
    <w:p w14:paraId="31B0476F" w14:textId="77777777" w:rsidR="00D80D27" w:rsidRPr="00D80D27" w:rsidRDefault="00D80D27" w:rsidP="0029023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Незаконното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преминаване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през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граница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най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разпространеният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вид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сред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тези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престъпления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939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нарушения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държавната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граница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са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осъдени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887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или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съответно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34.6%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престъпленията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34.7%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от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осъдените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престъпления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против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дейността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на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държавни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органи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обществени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организации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изпълняващи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публични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функции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1129C8F1" w14:textId="56185FA2" w:rsidR="00A94BDD" w:rsidRPr="00F92261" w:rsidRDefault="00D80D27" w:rsidP="00F922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За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71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превеждания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през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граница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са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осъдени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87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лица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D80D27">
        <w:rPr>
          <w:rFonts w:ascii="Verdana" w:eastAsia="Μοντέρνα" w:hAnsi="Verdana" w:cs="Times New Roman" w:hint="cs"/>
          <w:sz w:val="20"/>
          <w:szCs w:val="20"/>
          <w:lang w:eastAsia="bg-BG"/>
        </w:rPr>
        <w:t>или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3.4%</w:t>
      </w:r>
      <w:r w:rsidR="00010FFA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68ABC923" w14:textId="1411FD29" w:rsidR="00D80D27" w:rsidRPr="00D80D27" w:rsidRDefault="00D80D27" w:rsidP="00F020A8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Престъпления против личността</w:t>
      </w:r>
      <w:r w:rsidRPr="00D80D27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6"/>
      </w:r>
    </w:p>
    <w:p w14:paraId="21501FE1" w14:textId="144EFBEC" w:rsidR="00D80D27" w:rsidRPr="00D80D27" w:rsidRDefault="00D80D27" w:rsidP="0029023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изключително висока обществена опасност сред престъпленията против личността са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умишлените убийства.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осъдителни присъди са завършили делата за 62 убийства (довършени и опити), като за извършването им са осъдени 70 лица (4.8%).</w:t>
      </w:r>
    </w:p>
    <w:p w14:paraId="19E3BE40" w14:textId="20234B99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 престъпленията против личността най-много са причинените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телесни повреди,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като с осъдителна присъда са завършили делата за 814 престъпления</w:t>
      </w:r>
      <w:r w:rsidR="001E78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(43.8%)</w:t>
      </w:r>
      <w:r w:rsidR="00624FC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624FC3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съдени</w:t>
      </w:r>
      <w:r w:rsidR="00624F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тях са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699</w:t>
      </w:r>
      <w:r w:rsidR="00624FC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, или 48.0% от общия брой на осъдените за извършени престъпления против личността.</w:t>
      </w:r>
    </w:p>
    <w:p w14:paraId="14D2C10C" w14:textId="576C914A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Приключилите с осъждане дела за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разврат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24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(13.0%)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,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 осъдените са 1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81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лица (1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.4%). От тях 3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за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изнасилване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(довършено и опит) </w:t>
      </w:r>
      <w:r w:rsidR="00F559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28 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осъдени.</w:t>
      </w:r>
    </w:p>
    <w:p w14:paraId="7444950A" w14:textId="0A4F90A0" w:rsidR="00D80D27" w:rsidRPr="00D80D27" w:rsidRDefault="00D80D27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За </w:t>
      </w:r>
      <w:r w:rsidRPr="00D80D27">
        <w:rPr>
          <w:rFonts w:ascii="Verdana" w:eastAsia="Μοντέρνα" w:hAnsi="Verdana" w:cs="Times New Roman"/>
          <w:i/>
          <w:sz w:val="20"/>
          <w:szCs w:val="20"/>
          <w:lang w:eastAsia="bg-BG"/>
        </w:rPr>
        <w:t>трафик на хора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осъдителни присъди са завършили 9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наказателни дела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или 5.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>% от престъпленията против личността. Осъдени за този вид престъпление са 2</w:t>
      </w:r>
      <w:r w:rsidRPr="00D80D27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D80D2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</w:t>
      </w:r>
    </w:p>
    <w:p w14:paraId="566745C1" w14:textId="7B0EB0E6" w:rsidR="00232F3E" w:rsidRPr="00232F3E" w:rsidRDefault="00232F3E" w:rsidP="00F92261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32F3E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Престъпления, завършили с осъждане</w:t>
      </w:r>
      <w:r w:rsidR="005B1962">
        <w:rPr>
          <w:rFonts w:ascii="Verdana" w:eastAsia="Μοντέρνα" w:hAnsi="Verdana" w:cs="Times New Roman"/>
          <w:b/>
          <w:sz w:val="20"/>
          <w:szCs w:val="20"/>
          <w:lang w:eastAsia="bg-BG"/>
        </w:rPr>
        <w:t>,</w:t>
      </w:r>
      <w:r w:rsidRPr="00232F3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по брой извършители и осъдени </w:t>
      </w:r>
      <w:r w:rsidRPr="00232F3E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лица </w:t>
      </w:r>
      <w:r w:rsidRPr="00232F3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брой извършени престъпления </w:t>
      </w:r>
    </w:p>
    <w:p w14:paraId="52EBD1EE" w14:textId="77777777" w:rsidR="00232F3E" w:rsidRPr="00232F3E" w:rsidRDefault="00232F3E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Преобладаващата част от наказаните престъпления са извършени от едно лице (без съучастие) </w:t>
      </w:r>
      <w:r w:rsidRPr="00232F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95.8%. Следват извършените от две лица </w:t>
      </w:r>
      <w:r w:rsidRPr="00232F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3.2%, а от три и повече са 1.0%.</w:t>
      </w:r>
      <w:r w:rsidRPr="00232F3E">
        <w:rPr>
          <w:rFonts w:ascii="Verdana" w:eastAsia="Μοντέρνα" w:hAnsi="Verdana" w:cs="Times New Roman"/>
          <w:bCs/>
          <w:sz w:val="20"/>
          <w:szCs w:val="20"/>
          <w:vertAlign w:val="superscript"/>
          <w:lang w:eastAsia="bg-BG"/>
        </w:rPr>
        <w:footnoteReference w:id="7"/>
      </w:r>
    </w:p>
    <w:p w14:paraId="3BE188FA" w14:textId="15E2B504" w:rsidR="00232F3E" w:rsidRDefault="00232F3E" w:rsidP="00281FD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зависимост от състава на престъпленията един извършител е най-разпространеният случай при документните (99.6%) и при общоопасните 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престъпления (99.1%)</w:t>
      </w:r>
      <w:r w:rsidR="008F259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(виж фиг. 5)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. Две лица извършват в съучастие едно престъпление най-често, когато престъплението е против собствеността (9.2%)</w:t>
      </w:r>
      <w:r w:rsidR="00BB463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Наказаните престъпления, извършени от три и повече лица в съучастие</w:t>
      </w:r>
      <w:r w:rsidRPr="00232F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Pr="00232F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са най-характерни при престъпления против реда и общественото спокойствие (5.9%).</w:t>
      </w:r>
    </w:p>
    <w:p w14:paraId="2FA6EC80" w14:textId="4513663F" w:rsidR="000856EA" w:rsidRDefault="000856EA" w:rsidP="00F90C47">
      <w:pPr>
        <w:keepNext/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856EA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Структура на наказаните престъпления през 2023 г. по някои глави от НК и по брой извършители</w:t>
      </w:r>
    </w:p>
    <w:p w14:paraId="357DDAAB" w14:textId="6FA00BB7" w:rsidR="00BB4637" w:rsidRDefault="00E96D00" w:rsidP="00281FD6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2751D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09EEF4E3" wp14:editId="3C288CB6">
            <wp:extent cx="5495925" cy="27717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B9FF3" w14:textId="7DA572C5" w:rsidR="00FB6A45" w:rsidRDefault="004D0C0B" w:rsidP="00281FD6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0C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разпределението на осъдените лица по броя на извършените престъпления най-голям е делът на осъдените за едно престъпление </w:t>
      </w:r>
      <w:r w:rsidRPr="004D0C0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D0C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87.6%. Извършителите на две престъпления са 10.4%, а на три и повече </w:t>
      </w:r>
      <w:r w:rsidRPr="004D0C0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D0C0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2.0% от всички осъдени лица през годината. По видове престъпления за извършването на две престъпления преобладават осъдените за престъпления против реда и общественото спокойствие (24.7%). Най-голям дял на осъдени лица за извършени три и повече престъпления се наблюдава при престъпленията против реда и общественото спокойствие (14.8%) и против личността (7.2%).</w:t>
      </w:r>
    </w:p>
    <w:p w14:paraId="58142BE0" w14:textId="77777777" w:rsidR="00FB6A45" w:rsidRDefault="00FB6A45">
      <w:pPr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1CC1B418" w14:textId="77777777" w:rsidR="004D0C0B" w:rsidRPr="004D0C0B" w:rsidRDefault="004D0C0B" w:rsidP="00281FD6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0C0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6. Структура на осъдени лица през 2023 г. по някои глави от НК и по брой извършени престъпления</w:t>
      </w:r>
      <w:r w:rsidRPr="004D0C0B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8"/>
      </w:r>
    </w:p>
    <w:p w14:paraId="7CC1BC48" w14:textId="7611BB97" w:rsidR="00377417" w:rsidRDefault="00347089" w:rsidP="003701AC">
      <w:pPr>
        <w:autoSpaceDE w:val="0"/>
        <w:autoSpaceDN w:val="0"/>
        <w:adjustRightInd w:val="0"/>
        <w:spacing w:after="160" w:line="360" w:lineRule="auto"/>
        <w:ind w:left="-142"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B5CD4">
        <w:rPr>
          <w:rFonts w:ascii="Verdana" w:hAnsi="Verdana"/>
          <w:noProof/>
          <w:sz w:val="14"/>
          <w:szCs w:val="14"/>
          <w:lang w:eastAsia="bg-BG"/>
        </w:rPr>
        <w:drawing>
          <wp:inline distT="0" distB="0" distL="0" distR="0" wp14:anchorId="5D7A5D6D" wp14:editId="39DF255B">
            <wp:extent cx="5412105" cy="3204519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A79A48" w14:textId="77777777" w:rsidR="0030135F" w:rsidRPr="00D80D27" w:rsidRDefault="0030135F" w:rsidP="0030135F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Осъдени по наложени наказания</w:t>
      </w:r>
    </w:p>
    <w:p w14:paraId="0AD6C115" w14:textId="77777777" w:rsidR="0030135F" w:rsidRPr="00D80D27" w:rsidRDefault="0030135F" w:rsidP="003013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структурата на осъдените по наложени наказания най-голям е относителният дял на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лишените от свобода.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През 202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те са 1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940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или 8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от общия брой на осъдените лица. От тях най-много са лишените от свобода за срок до 6 месеца (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47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от всички осъдени на лишаване от свобода), следвани от лишените от свобода за срок от 6 месеца до 1 година - 3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14:paraId="6BB9FF18" w14:textId="77777777" w:rsidR="0030135F" w:rsidRPr="00D80D27" w:rsidRDefault="0030135F" w:rsidP="0030135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Наказанието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пробация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е наложено на 2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492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лица (1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всички осъдени),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глоба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на 1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505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а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>обществено порицание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на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99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 </w:t>
      </w:r>
      <w:r w:rsidRPr="00D80D27">
        <w:rPr>
          <w:rFonts w:ascii="Verdana" w:eastAsia="Μοντέρνα" w:hAnsi="Verdana" w:cs="Times New Roman"/>
          <w:bCs/>
          <w:i/>
          <w:sz w:val="20"/>
          <w:szCs w:val="20"/>
          <w:lang w:eastAsia="bg-BG"/>
        </w:rPr>
        <w:t xml:space="preserve">доживотен затвор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е осъдено </w:t>
      </w:r>
      <w:r w:rsidRPr="00D80D2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D80D2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лице.</w:t>
      </w:r>
    </w:p>
    <w:p w14:paraId="3F87854F" w14:textId="77777777" w:rsidR="0030135F" w:rsidRDefault="0030135F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30135F" w:rsidSect="00281FD6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417" w:right="1417" w:bottom="1417" w:left="1417" w:header="2324" w:footer="567" w:gutter="0"/>
          <w:cols w:space="708"/>
          <w:titlePg/>
          <w:docGrid w:linePitch="360"/>
        </w:sectPr>
      </w:pPr>
    </w:p>
    <w:p w14:paraId="313BEE74" w14:textId="100E1FA4" w:rsidR="004451E3" w:rsidRDefault="004451E3" w:rsidP="00F020A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40B2C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2EA43E06" w14:textId="5AFFE3CF" w:rsidR="00751C54" w:rsidRPr="00EC1F63" w:rsidRDefault="00751C54" w:rsidP="0029023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Статистическото изследване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престъпленията, обвиняемите и осъдените лица с влезли в сила присъди осигурява информация на базата на годишни данни, получавани от районните, ок</w:t>
      </w:r>
      <w:r w:rsidR="00DC1EC2" w:rsidRPr="00EC1F63">
        <w:rPr>
          <w:rFonts w:ascii="Verdana" w:eastAsia="Μοντέρνα" w:hAnsi="Verdana" w:cs="Times New Roman"/>
          <w:sz w:val="20"/>
          <w:szCs w:val="20"/>
          <w:lang w:eastAsia="bg-BG"/>
        </w:rPr>
        <w:t>ръжните и военните съдилища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6DEC2B31" w14:textId="77504039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Обект на наблюдение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дейността на районните, окръжните, военните съдилища и на Специализирания наказателен съд по наказателните дела от общ, частен и административен характер. </w:t>
      </w:r>
      <w:r w:rsidR="002B6042"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През 2022 г. с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ъгласно Закона за съдебната власт (изм. и доп. ДВ. бр.32 от 26 Април 2022</w:t>
      </w:r>
      <w:r w:rsidR="00DC1EC2"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г.) Специализираният наказателен съд (</w:t>
      </w:r>
      <w:proofErr w:type="spellStart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СпНС</w:t>
      </w:r>
      <w:proofErr w:type="spellEnd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е закрит. Първоинстанционните наказателни дела пред </w:t>
      </w:r>
      <w:proofErr w:type="spellStart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СпНС</w:t>
      </w:r>
      <w:proofErr w:type="spellEnd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, по които е проведено разпоредително заседание, стават подсъдни на Софийския градски съд и разглеждането им продължава от съдебния състав, провел заседанието. Съдиите от съдебните състави, които не са преназначени в Софийския градски съд, се командироват за участие в разглеждането на делата до приключването на производствата по тях.</w:t>
      </w:r>
    </w:p>
    <w:p w14:paraId="1841EDCA" w14:textId="77777777" w:rsidR="00751C54" w:rsidRPr="00EC1F63" w:rsidRDefault="00751C54" w:rsidP="0021195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Единици на наблюдение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престъпленията, обвиняемите и осъдените лица с влезли в сила присъди в рамките на отчетната година.</w:t>
      </w:r>
    </w:p>
    <w:p w14:paraId="344C22F1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престъпленията, завършили с осъждане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, се включват всички престъпления, за които наказателните дела са завършили с условна или ефективна присъда, независимо от броя на извършителите.</w:t>
      </w:r>
    </w:p>
    <w:p w14:paraId="67E5591B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Престъпление, извършено от повече от едно лице (в съучастие), се отчита за завършило с осъждане, когато поне едно от обвиняемите лица е осъдено ефективно или условно. В случай, че дело приключи с оправдателна присъда за всички лица, извършители на престъплението, то се отчита за завършило с оправдаване. Престъпление се отчита за завършило с прекратяване, когато спрямо извършителя или всички извършители делото е прекратено.</w:t>
      </w:r>
    </w:p>
    <w:p w14:paraId="64984DAD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обвиняемите лица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ефективно осъдените, условно осъдените, оправданите, освободените от наказание и лицата, на които делата са прекратени.</w:t>
      </w:r>
    </w:p>
    <w:p w14:paraId="41E8E321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осъдените лица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всички осъдени лица, на които с влязла в сила присъда им е наложено ефективно или условно наказание.</w:t>
      </w:r>
    </w:p>
    <w:p w14:paraId="1E5E3771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Когато няколко лица са осъдени за извършването на едно престъпление, престъплението се отчита само един път, а всяко лице поотделно - в зависимост от изхода на делото. В случаите, когато в едно наказателно дело е осъдено лице за повече от едно престъпление, се отчита най-тежкото наложено наказание по съвкупност. Когато едно лице е осъдено за няколко престъпления, то се отчита към най-тежкото наказуемо деяние, а всяко престъпление поотделно - към съответния вид престъпление.</w:t>
      </w:r>
    </w:p>
    <w:p w14:paraId="1F81A459" w14:textId="77777777" w:rsidR="00751C54" w:rsidRPr="00EC1F63" w:rsidRDefault="00751C54" w:rsidP="0029023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Възрастта на осъдените лица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посочена в навършени години към момента на извършване на престъплението.</w:t>
      </w:r>
    </w:p>
    <w:p w14:paraId="4B8AA9F2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Непълнолетни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лицата на възраст от 14 до 17 навършени години.</w:t>
      </w:r>
    </w:p>
    <w:p w14:paraId="21A68AEC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Пълнолетни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лицата на възраст 18 и повече навършени години.</w:t>
      </w:r>
    </w:p>
    <w:p w14:paraId="0D2C49B1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Осъдените непълнолетни лица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в общия брой на осъдените лица.</w:t>
      </w:r>
    </w:p>
    <w:p w14:paraId="7713C97D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Съгласно чл. 31, ал. 1 и 2 от НК </w:t>
      </w:r>
      <w:proofErr w:type="spellStart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наказателноотговорно</w:t>
      </w:r>
      <w:proofErr w:type="spellEnd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пълнолетно лице, навършило 18-годишна възраст, което в състояние на вменяемост извърши престъпление. Непълнолетно лице - навършило 14 години, но ненавършило 18 години, е </w:t>
      </w:r>
      <w:proofErr w:type="spellStart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наказателноотговорно</w:t>
      </w:r>
      <w:proofErr w:type="spellEnd"/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, ако е могло да разбира свойството и значението на деянието и да ръководи постъпките си.</w:t>
      </w:r>
    </w:p>
    <w:p w14:paraId="4D25B779" w14:textId="680B9B5E" w:rsidR="00751C54" w:rsidRPr="00EC1F63" w:rsidRDefault="00751C54" w:rsidP="0029023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b/>
          <w:sz w:val="20"/>
          <w:szCs w:val="20"/>
          <w:lang w:eastAsia="bg-BG"/>
        </w:rPr>
        <w:t>Коефициентът на криминална активност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изчислен като отношение на броя на осъдените лица към броя на наказателноотговорното (на 14 и повече навършени години) средногодишно население за съответната година на 100 000 души. Оценката за населението към 31.12.2</w:t>
      </w:r>
      <w:r w:rsidR="00DC1EC2" w:rsidRPr="00EC1F63">
        <w:rPr>
          <w:rFonts w:ascii="Verdana" w:eastAsia="Μοντέρνα" w:hAnsi="Verdana" w:cs="Times New Roman"/>
          <w:sz w:val="20"/>
          <w:szCs w:val="20"/>
          <w:lang w:eastAsia="bg-BG"/>
        </w:rPr>
        <w:t>023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отразява промените в броя и структурите на населението, регистрирани при Преброяване 2021. В тази връзка е налице прекъсване в динамичния ред за всички коефициенти </w:t>
      </w:r>
      <w:r w:rsidR="007670AA"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от</w:t>
      </w: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2022 година.</w:t>
      </w:r>
    </w:p>
    <w:p w14:paraId="3AFC688F" w14:textId="77777777" w:rsidR="00751C54" w:rsidRPr="00EC1F63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Данните за престъпленията, обвиняемите и осъдените лица са получени от изчерпателно изследване чрез статистически формуляри „Карта за обвиняемо лице“ (1-СС), попълвана от органите на досъдебното и съдебното производство и информация от административен източник Единна информационна система за противодействие на престъпността (ЕИСПП).</w:t>
      </w:r>
    </w:p>
    <w:p w14:paraId="08E08689" w14:textId="4BFF3969" w:rsidR="00751C54" w:rsidRPr="00751C54" w:rsidRDefault="00751C54" w:rsidP="00281FD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Допълнителна информация относно методологията и данните от изследването „Престъпления, обвиняеми и осъдени лица“ е публикувана на сайта на НСИ (</w:t>
      </w:r>
      <w:hyperlink r:id="rId18" w:history="1">
        <w:r w:rsidRPr="00EC1F63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), раздел „Правосъдие и престъпност“, както и в Информационна система ИНФОСТАТ (</w:t>
      </w:r>
      <w:hyperlink r:id="rId19" w:history="1">
        <w:r w:rsidRPr="00EC1F63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https://infostat.nsi.bg/infostat/pages/module.jsf?x_2=56</w:t>
        </w:r>
      </w:hyperlink>
      <w:r w:rsidRPr="00EC1F63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751C54" w:rsidRPr="00751C54" w:rsidSect="00DE0DA1">
      <w:headerReference w:type="first" r:id="rId20"/>
      <w:footerReference w:type="first" r:id="rId21"/>
      <w:footnotePr>
        <w:numRestart w:val="eachPage"/>
      </w:footnotePr>
      <w:pgSz w:w="11906" w:h="16838" w:code="9"/>
      <w:pgMar w:top="1134" w:right="1134" w:bottom="567" w:left="1418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707C" w14:textId="77777777" w:rsidR="003205B6" w:rsidRDefault="003205B6" w:rsidP="00214ACA">
      <w:r>
        <w:separator/>
      </w:r>
    </w:p>
  </w:endnote>
  <w:endnote w:type="continuationSeparator" w:id="0">
    <w:p w14:paraId="1B4E3AA5" w14:textId="77777777" w:rsidR="003205B6" w:rsidRDefault="003205B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ED30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2C0C22" wp14:editId="75DA534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F08E7" w14:textId="15BB5194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3AF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2C0C2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62F08E7" w14:textId="15BB5194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B3AF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B9F6AD" wp14:editId="20393F1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B1B9C4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351816" wp14:editId="42E9E49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6B2072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2B91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F463C6E" wp14:editId="34890601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D69D0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7B81721" wp14:editId="3C5BFA6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54EB" w14:textId="674EEEE7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34E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817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C1754EB" w14:textId="674EEEE7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034E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A23A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E697B9E" wp14:editId="5FB8613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D1798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F7789AD" wp14:editId="67E978E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3B4D7" w14:textId="1E53414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34E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7789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CD3B4D7" w14:textId="1E53414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034E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2CF3113" wp14:editId="619A5781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0A9B01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5E697431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F0E1" w14:textId="77777777" w:rsidR="003205B6" w:rsidRDefault="003205B6" w:rsidP="00214ACA">
      <w:r>
        <w:separator/>
      </w:r>
    </w:p>
  </w:footnote>
  <w:footnote w:type="continuationSeparator" w:id="0">
    <w:p w14:paraId="41D929F2" w14:textId="77777777" w:rsidR="003205B6" w:rsidRDefault="003205B6" w:rsidP="00214ACA">
      <w:r>
        <w:continuationSeparator/>
      </w:r>
    </w:p>
  </w:footnote>
  <w:footnote w:id="1">
    <w:p w14:paraId="38991B8F" w14:textId="77777777" w:rsidR="00E87207" w:rsidRPr="00281FD6" w:rsidRDefault="00E87207" w:rsidP="00EC1F63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281FD6">
        <w:rPr>
          <w:rStyle w:val="FootnoteReference"/>
          <w:rFonts w:ascii="Verdana" w:hAnsi="Verdana"/>
          <w:sz w:val="16"/>
          <w:szCs w:val="16"/>
        </w:rPr>
        <w:footnoteRef/>
      </w:r>
      <w:r w:rsidRPr="00281FD6">
        <w:rPr>
          <w:rFonts w:ascii="Verdana" w:hAnsi="Verdana"/>
          <w:sz w:val="16"/>
          <w:szCs w:val="16"/>
          <w:lang w:val="ru-RU"/>
        </w:rPr>
        <w:t xml:space="preserve"> </w:t>
      </w:r>
      <w:r w:rsidRPr="00281FD6">
        <w:rPr>
          <w:rFonts w:ascii="Verdana" w:eastAsia="Calibri" w:hAnsi="Verdana"/>
          <w:sz w:val="16"/>
          <w:szCs w:val="16"/>
          <w:lang w:val="bg-BG" w:eastAsia="en-US"/>
        </w:rPr>
        <w:t>Осъдени лица на 100 000 души от средногодишното население на възраст 14 и повече години.</w:t>
      </w:r>
    </w:p>
  </w:footnote>
  <w:footnote w:id="2">
    <w:p w14:paraId="64C30541" w14:textId="0CE08BC3" w:rsidR="00153FC0" w:rsidRPr="00290236" w:rsidRDefault="00153FC0" w:rsidP="00F020A8">
      <w:pPr>
        <w:pStyle w:val="FootnoteText"/>
        <w:jc w:val="both"/>
        <w:rPr>
          <w:rFonts w:ascii="Verdana" w:eastAsia="Calibri" w:hAnsi="Verdana"/>
          <w:sz w:val="16"/>
          <w:szCs w:val="16"/>
          <w:lang w:val="bg-BG" w:eastAsia="en-US"/>
        </w:rPr>
      </w:pPr>
      <w:r w:rsidRPr="00290236">
        <w:rPr>
          <w:rStyle w:val="FootnoteReference"/>
          <w:rFonts w:ascii="Verdana" w:hAnsi="Verdana"/>
          <w:sz w:val="16"/>
          <w:szCs w:val="16"/>
        </w:rPr>
        <w:footnoteRef/>
      </w:r>
      <w:r w:rsidRPr="00290236">
        <w:rPr>
          <w:rFonts w:ascii="Verdana" w:eastAsia="Calibri" w:hAnsi="Verdana"/>
          <w:sz w:val="16"/>
          <w:szCs w:val="16"/>
          <w:lang w:val="bg-BG" w:eastAsia="en-US"/>
        </w:rPr>
        <w:t xml:space="preserve"> </w:t>
      </w:r>
      <w:r w:rsidRPr="00290236">
        <w:rPr>
          <w:rFonts w:ascii="Verdana" w:eastAsia="Calibri" w:hAnsi="Verdana"/>
          <w:sz w:val="16"/>
          <w:szCs w:val="16"/>
          <w:lang w:val="bg-BG" w:eastAsia="en-US"/>
        </w:rPr>
        <w:t xml:space="preserve">Има прекъсване в динамичния ред за всички коефициенти </w:t>
      </w:r>
      <w:r w:rsidR="005315C4">
        <w:rPr>
          <w:rFonts w:ascii="Verdana" w:eastAsia="Calibri" w:hAnsi="Verdana"/>
          <w:sz w:val="16"/>
          <w:szCs w:val="16"/>
          <w:lang w:val="bg-BG" w:eastAsia="en-US"/>
        </w:rPr>
        <w:t>от</w:t>
      </w:r>
      <w:r w:rsidRPr="00290236">
        <w:rPr>
          <w:rFonts w:ascii="Verdana" w:eastAsia="Calibri" w:hAnsi="Verdana"/>
          <w:sz w:val="16"/>
          <w:szCs w:val="16"/>
          <w:lang w:val="bg-BG" w:eastAsia="en-US"/>
        </w:rPr>
        <w:t xml:space="preserve"> 2022 година - вж. методологичните бележки.</w:t>
      </w:r>
    </w:p>
  </w:footnote>
  <w:footnote w:id="3">
    <w:p w14:paraId="510669FA" w14:textId="77777777" w:rsidR="00D80D27" w:rsidRPr="00EC1F63" w:rsidRDefault="00D80D27" w:rsidP="003A56D6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EC1F63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EC1F63">
        <w:rPr>
          <w:rFonts w:ascii="Verdana" w:hAnsi="Verdana"/>
          <w:sz w:val="16"/>
          <w:szCs w:val="16"/>
          <w:lang w:val="bg-BG"/>
        </w:rPr>
        <w:t xml:space="preserve"> </w:t>
      </w:r>
      <w:r w:rsidRPr="00EC1F63">
        <w:rPr>
          <w:rFonts w:ascii="Verdana" w:hAnsi="Verdana"/>
          <w:sz w:val="16"/>
          <w:szCs w:val="16"/>
          <w:lang w:val="bg-BG"/>
        </w:rPr>
        <w:t>Включват престъпления, извършени по общоопасен начин или с общоопасни средства, по транспорта и съобщенията, против народното здраве и околната среда, при използването на атомната енергия за мирни цели и други.</w:t>
      </w:r>
    </w:p>
  </w:footnote>
  <w:footnote w:id="4">
    <w:p w14:paraId="7E1C75A8" w14:textId="77777777" w:rsidR="00D80D27" w:rsidRPr="00281FD6" w:rsidRDefault="00D80D27" w:rsidP="003A56D6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020A8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F020A8">
        <w:rPr>
          <w:rFonts w:ascii="Verdana" w:hAnsi="Verdana"/>
          <w:sz w:val="16"/>
          <w:szCs w:val="16"/>
          <w:lang w:val="bg-BG"/>
        </w:rPr>
        <w:t xml:space="preserve"> </w:t>
      </w:r>
      <w:r w:rsidRPr="00EC1F63">
        <w:rPr>
          <w:rFonts w:ascii="Verdana" w:hAnsi="Verdana"/>
          <w:sz w:val="16"/>
          <w:szCs w:val="16"/>
          <w:lang w:val="bg-BG"/>
        </w:rPr>
        <w:t>Включват: кражба и грабеж на имущество, присвояване, измама, изнудване, вещно укривателство, унищожаване и повреждане на имущество, злоупотреба на доверие.</w:t>
      </w:r>
    </w:p>
  </w:footnote>
  <w:footnote w:id="5">
    <w:p w14:paraId="24DAA612" w14:textId="77777777" w:rsidR="00D80D27" w:rsidRPr="00F020A8" w:rsidRDefault="00D80D27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D16B67">
        <w:rPr>
          <w:rStyle w:val="FootnoteReference"/>
          <w:rFonts w:ascii="Verdana" w:hAnsi="Verdana"/>
          <w:sz w:val="16"/>
          <w:lang w:val="bg-BG"/>
        </w:rPr>
        <w:footnoteRef/>
      </w:r>
      <w:r w:rsidRPr="00D16B67">
        <w:rPr>
          <w:rFonts w:ascii="Verdana" w:hAnsi="Verdana"/>
          <w:sz w:val="16"/>
          <w:lang w:val="bg-BG"/>
        </w:rPr>
        <w:t xml:space="preserve"> </w:t>
      </w:r>
      <w:r w:rsidRPr="00D16B67">
        <w:rPr>
          <w:rFonts w:ascii="Verdana" w:hAnsi="Verdana"/>
          <w:sz w:val="16"/>
          <w:lang w:val="bg-BG"/>
        </w:rPr>
        <w:t>Включват престъпления против реда на управлението, престъпления по служба, против правосъдието и подкуп.</w:t>
      </w:r>
    </w:p>
  </w:footnote>
  <w:footnote w:id="6">
    <w:p w14:paraId="7321B3B6" w14:textId="77777777" w:rsidR="00D80D27" w:rsidRPr="00F020A8" w:rsidRDefault="00D80D27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D16B67">
        <w:rPr>
          <w:rStyle w:val="FootnoteReference"/>
          <w:rFonts w:ascii="Verdana" w:hAnsi="Verdana"/>
          <w:sz w:val="16"/>
        </w:rPr>
        <w:footnoteRef/>
      </w:r>
      <w:r w:rsidRPr="00D16B67">
        <w:rPr>
          <w:rFonts w:ascii="Verdana" w:hAnsi="Verdana"/>
          <w:sz w:val="16"/>
          <w:lang w:val="ru-RU"/>
        </w:rPr>
        <w:t xml:space="preserve"> </w:t>
      </w:r>
      <w:r w:rsidRPr="00D16B67">
        <w:rPr>
          <w:rFonts w:ascii="Verdana" w:hAnsi="Verdana"/>
          <w:sz w:val="16"/>
          <w:lang w:val="bg-BG"/>
        </w:rPr>
        <w:t>Включват убийства, телесни повреди, отвличане и противозаконно лишаване от свобода, принуда, обида и клевета, разврат и трафик на хора.</w:t>
      </w:r>
    </w:p>
  </w:footnote>
  <w:footnote w:id="7">
    <w:p w14:paraId="72DA10C7" w14:textId="6E15AED3" w:rsidR="00232F3E" w:rsidRPr="000856EA" w:rsidRDefault="00232F3E" w:rsidP="00F020A8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020A8">
        <w:rPr>
          <w:rStyle w:val="FootnoteReference"/>
          <w:rFonts w:ascii="Verdana" w:hAnsi="Verdana"/>
          <w:sz w:val="16"/>
          <w:lang w:val="bg-BG"/>
        </w:rPr>
        <w:footnoteRef/>
      </w:r>
      <w:r w:rsidR="00F41BBB" w:rsidRPr="00F020A8">
        <w:rPr>
          <w:rFonts w:ascii="Verdana" w:hAnsi="Verdana"/>
          <w:sz w:val="16"/>
          <w:lang w:val="en-US"/>
        </w:rPr>
        <w:t xml:space="preserve"> </w:t>
      </w:r>
      <w:r w:rsidRPr="00D16B67">
        <w:rPr>
          <w:rFonts w:ascii="Verdana" w:hAnsi="Verdana"/>
          <w:sz w:val="16"/>
          <w:lang w:val="bg-BG"/>
        </w:rPr>
        <w:t>Престъпление, извършено в съучастие - когато няколко лица участват в извършването на едно и също престъпление като извършители или помагачи, и са осъдени по еднакъв престъпен състав от НК.</w:t>
      </w:r>
    </w:p>
  </w:footnote>
  <w:footnote w:id="8">
    <w:p w14:paraId="4E26B836" w14:textId="77777777" w:rsidR="004D0C0B" w:rsidRPr="00EC1F63" w:rsidRDefault="004D0C0B" w:rsidP="00F020A8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020A8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F020A8">
        <w:rPr>
          <w:rFonts w:ascii="Verdana" w:hAnsi="Verdana"/>
          <w:sz w:val="16"/>
          <w:szCs w:val="16"/>
          <w:lang w:val="bg-BG"/>
        </w:rPr>
        <w:t xml:space="preserve"> </w:t>
      </w:r>
      <w:r w:rsidRPr="00EC1F63">
        <w:rPr>
          <w:rFonts w:ascii="Verdana" w:hAnsi="Verdana"/>
          <w:sz w:val="16"/>
          <w:szCs w:val="16"/>
          <w:lang w:val="bg-BG"/>
        </w:rPr>
        <w:t>Когато едно лице е осъдено за няколко престъпления, лицето се отнася към най-тежкото наказуемо деяние, а всяко престъпление поотделно - към съответния вид престъпление.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C6F0" w14:textId="77777777" w:rsidR="00B77149" w:rsidRPr="00B77149" w:rsidRDefault="0002717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2C338F68" wp14:editId="51115F79">
              <wp:simplePos x="0" y="0"/>
              <wp:positionH relativeFrom="margin">
                <wp:posOffset>-84151</wp:posOffset>
              </wp:positionH>
              <wp:positionV relativeFrom="paragraph">
                <wp:posOffset>134620</wp:posOffset>
              </wp:positionV>
              <wp:extent cx="6066790" cy="1270"/>
              <wp:effectExtent l="0" t="0" r="10160" b="17780"/>
              <wp:wrapTopAndBottom/>
              <wp:docPr id="1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793F7" id="Graphic 7" o:spid="_x0000_s1026" style="position:absolute;margin-left:-6.65pt;margin-top:10.6pt;width:477.7pt;height:.1pt;z-index:-2516162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8748F1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28884DE" wp14:editId="6A5DFF4E">
              <wp:simplePos x="0" y="0"/>
              <wp:positionH relativeFrom="margin">
                <wp:posOffset>-508635</wp:posOffset>
              </wp:positionH>
              <wp:positionV relativeFrom="paragraph">
                <wp:posOffset>-366395</wp:posOffset>
              </wp:positionV>
              <wp:extent cx="6667500" cy="4953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1656A" w14:textId="4DB280D7" w:rsidR="00DE0DA1" w:rsidRDefault="00E4538C" w:rsidP="00E4538C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ind w:firstLine="567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E453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ПРЕСТЪПЛЕНИЯ, ОБВИНЯЕМИ И ОСЪДЕНИ ЛИЦА</w:t>
                          </w:r>
                          <w:r w:rsidR="00D80D27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 w:rsidRPr="00E453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ПРЕЗ 2023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88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05pt;margin-top:-28.85pt;width:525pt;height:3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" stroked="f">
              <v:textbox>
                <w:txbxContent>
                  <w:p w14:paraId="4911656A" w14:textId="4DB280D7" w:rsidR="00DE0DA1" w:rsidRDefault="00E4538C" w:rsidP="00E4538C">
                    <w:pPr>
                      <w:tabs>
                        <w:tab w:val="left" w:pos="3123"/>
                      </w:tabs>
                      <w:spacing w:line="360" w:lineRule="auto"/>
                      <w:ind w:firstLine="567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</w:pPr>
                    <w:r w:rsidRPr="00E4538C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ПРЕСТЪПЛЕНИЯ, ОБВИНЯЕМИ И ОСЪДЕНИ ЛИЦА</w:t>
                    </w:r>
                    <w:r w:rsidR="00D80D27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 w:rsidRPr="00E4538C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ПРЕЗ 2023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3183831" wp14:editId="43307602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E489D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9CD" w14:textId="3D2F2484" w:rsidR="00B07D27" w:rsidRPr="009E4021" w:rsidRDefault="00EC1F63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860484" wp14:editId="7B8EBD9B">
              <wp:simplePos x="0" y="0"/>
              <wp:positionH relativeFrom="margin">
                <wp:posOffset>936625</wp:posOffset>
              </wp:positionH>
              <wp:positionV relativeFrom="paragraph">
                <wp:posOffset>-601345</wp:posOffset>
              </wp:positionV>
              <wp:extent cx="391160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E0F2C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198C5BB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604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3.75pt;margin-top:-47.35pt;width:308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" stroked="f">
              <v:textbox>
                <w:txbxContent>
                  <w:p w14:paraId="04FE0F2C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198C5BB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1F2BA6A" wp14:editId="77E6344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E318B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702B02" wp14:editId="5498AD4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42F865C" wp14:editId="5E4277E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718B7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6FF865B" wp14:editId="03D220F0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3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500AF4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7058" w14:textId="09EE107F" w:rsidR="008748F1" w:rsidRPr="004F064E" w:rsidRDefault="00751C5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F45D580" wp14:editId="61B849BD">
              <wp:simplePos x="0" y="0"/>
              <wp:positionH relativeFrom="margin">
                <wp:posOffset>-49530</wp:posOffset>
              </wp:positionH>
              <wp:positionV relativeFrom="paragraph">
                <wp:posOffset>-309245</wp:posOffset>
              </wp:positionV>
              <wp:extent cx="5918200" cy="428625"/>
              <wp:effectExtent l="0" t="0" r="635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F284B" w14:textId="77777777" w:rsidR="00751C54" w:rsidRDefault="00751C54" w:rsidP="00751C54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ind w:firstLine="567"/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E453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ПРЕСТЪПЛЕНИЯ, ОБВИНЯЕМИ И ОСЪДЕНИ ЛИЦА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en-US" w:eastAsia="bg-BG"/>
                            </w:rPr>
                            <w:t xml:space="preserve"> </w:t>
                          </w:r>
                          <w:r w:rsidRPr="00E4538C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ПРЕЗ 2023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5D5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9pt;margin-top:-24.35pt;width:466pt;height:3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" stroked="f">
              <v:textbox>
                <w:txbxContent>
                  <w:p w14:paraId="304F284B" w14:textId="77777777" w:rsidR="00751C54" w:rsidRDefault="00751C54" w:rsidP="00751C54">
                    <w:pPr>
                      <w:tabs>
                        <w:tab w:val="left" w:pos="3123"/>
                      </w:tabs>
                      <w:spacing w:line="360" w:lineRule="auto"/>
                      <w:ind w:firstLine="567"/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</w:pPr>
                    <w:r w:rsidRPr="00E4538C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ПРЕСТЪПЛЕНИЯ, ОБВИНЯЕМИ И ОСЪДЕНИ ЛИЦА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en-US" w:eastAsia="bg-BG"/>
                      </w:rPr>
                      <w:t xml:space="preserve"> </w:t>
                    </w:r>
                    <w:r w:rsidRPr="00E4538C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ПРЕЗ 2023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0DA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FA1D161" wp14:editId="4B73F691">
              <wp:simplePos x="0" y="0"/>
              <wp:positionH relativeFrom="margin">
                <wp:posOffset>-158750</wp:posOffset>
              </wp:positionH>
              <wp:positionV relativeFrom="paragraph">
                <wp:posOffset>237490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06D6D" id="Graphic 7" o:spid="_x0000_s1026" style="position:absolute;margin-left:-12.5pt;margin-top:18.7pt;width:477.7pt;height:.1pt;z-index:-2516285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fDfrpt0AAAAJ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F66"/>
    <w:multiLevelType w:val="hybridMultilevel"/>
    <w:tmpl w:val="E6724ED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0FC"/>
    <w:multiLevelType w:val="hybridMultilevel"/>
    <w:tmpl w:val="48ECFA66"/>
    <w:lvl w:ilvl="0" w:tplc="FAD8B474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6200EE"/>
    <w:multiLevelType w:val="hybridMultilevel"/>
    <w:tmpl w:val="B970ACC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633744"/>
    <w:multiLevelType w:val="hybridMultilevel"/>
    <w:tmpl w:val="EC6A4D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2566"/>
    <w:multiLevelType w:val="hybridMultilevel"/>
    <w:tmpl w:val="DFFC82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87724"/>
    <w:multiLevelType w:val="hybridMultilevel"/>
    <w:tmpl w:val="C58C0A4C"/>
    <w:lvl w:ilvl="0" w:tplc="6F50D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09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A6DAA"/>
    <w:multiLevelType w:val="hybridMultilevel"/>
    <w:tmpl w:val="69100516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1CD1"/>
    <w:rsid w:val="00002F4C"/>
    <w:rsid w:val="00005506"/>
    <w:rsid w:val="00005E0E"/>
    <w:rsid w:val="00010FFA"/>
    <w:rsid w:val="000153D1"/>
    <w:rsid w:val="00017EE3"/>
    <w:rsid w:val="0002234A"/>
    <w:rsid w:val="00024164"/>
    <w:rsid w:val="00026782"/>
    <w:rsid w:val="00026DB7"/>
    <w:rsid w:val="00027170"/>
    <w:rsid w:val="0003081F"/>
    <w:rsid w:val="00031B49"/>
    <w:rsid w:val="00032B12"/>
    <w:rsid w:val="00033496"/>
    <w:rsid w:val="0003470C"/>
    <w:rsid w:val="000364D5"/>
    <w:rsid w:val="00042ED9"/>
    <w:rsid w:val="0004466A"/>
    <w:rsid w:val="0005371D"/>
    <w:rsid w:val="00055671"/>
    <w:rsid w:val="00057A71"/>
    <w:rsid w:val="0006051E"/>
    <w:rsid w:val="000607BC"/>
    <w:rsid w:val="00075EEB"/>
    <w:rsid w:val="00076B27"/>
    <w:rsid w:val="00077C97"/>
    <w:rsid w:val="00082D86"/>
    <w:rsid w:val="000856EA"/>
    <w:rsid w:val="000875A8"/>
    <w:rsid w:val="00092B69"/>
    <w:rsid w:val="00093061"/>
    <w:rsid w:val="000A1336"/>
    <w:rsid w:val="000B17C2"/>
    <w:rsid w:val="000B2B10"/>
    <w:rsid w:val="000B4361"/>
    <w:rsid w:val="000B46D2"/>
    <w:rsid w:val="000C09F1"/>
    <w:rsid w:val="000C0D56"/>
    <w:rsid w:val="000C1837"/>
    <w:rsid w:val="000C5A21"/>
    <w:rsid w:val="000D1C1D"/>
    <w:rsid w:val="000D66F3"/>
    <w:rsid w:val="000E0B1B"/>
    <w:rsid w:val="000E368D"/>
    <w:rsid w:val="000F06DB"/>
    <w:rsid w:val="000F0B88"/>
    <w:rsid w:val="000F1EAF"/>
    <w:rsid w:val="000F7663"/>
    <w:rsid w:val="001009BA"/>
    <w:rsid w:val="001013EE"/>
    <w:rsid w:val="00101DE0"/>
    <w:rsid w:val="0010326D"/>
    <w:rsid w:val="001062E3"/>
    <w:rsid w:val="001131CB"/>
    <w:rsid w:val="00114066"/>
    <w:rsid w:val="00117FD8"/>
    <w:rsid w:val="00131684"/>
    <w:rsid w:val="00132D6F"/>
    <w:rsid w:val="001350E1"/>
    <w:rsid w:val="0013783D"/>
    <w:rsid w:val="00137848"/>
    <w:rsid w:val="00150A41"/>
    <w:rsid w:val="0015102D"/>
    <w:rsid w:val="00151E1C"/>
    <w:rsid w:val="00153FC0"/>
    <w:rsid w:val="00156068"/>
    <w:rsid w:val="00156F89"/>
    <w:rsid w:val="0016205A"/>
    <w:rsid w:val="00171C36"/>
    <w:rsid w:val="0017516F"/>
    <w:rsid w:val="00176CCD"/>
    <w:rsid w:val="00180E33"/>
    <w:rsid w:val="00186E5B"/>
    <w:rsid w:val="001901A0"/>
    <w:rsid w:val="00195374"/>
    <w:rsid w:val="00197664"/>
    <w:rsid w:val="00197E1F"/>
    <w:rsid w:val="001A045F"/>
    <w:rsid w:val="001A2B87"/>
    <w:rsid w:val="001B03D8"/>
    <w:rsid w:val="001B12ED"/>
    <w:rsid w:val="001B1C19"/>
    <w:rsid w:val="001C389A"/>
    <w:rsid w:val="001C61C8"/>
    <w:rsid w:val="001D0E84"/>
    <w:rsid w:val="001D277B"/>
    <w:rsid w:val="001D6EF6"/>
    <w:rsid w:val="001D782A"/>
    <w:rsid w:val="001E01A4"/>
    <w:rsid w:val="001E3F9A"/>
    <w:rsid w:val="001E5BA2"/>
    <w:rsid w:val="001E78E0"/>
    <w:rsid w:val="001E7AC3"/>
    <w:rsid w:val="00200361"/>
    <w:rsid w:val="00200A0E"/>
    <w:rsid w:val="00204044"/>
    <w:rsid w:val="00205A3E"/>
    <w:rsid w:val="002061FC"/>
    <w:rsid w:val="00211952"/>
    <w:rsid w:val="00214ACA"/>
    <w:rsid w:val="00214E19"/>
    <w:rsid w:val="002212F4"/>
    <w:rsid w:val="00221717"/>
    <w:rsid w:val="00223603"/>
    <w:rsid w:val="002251D4"/>
    <w:rsid w:val="00232F3E"/>
    <w:rsid w:val="00233D91"/>
    <w:rsid w:val="00240584"/>
    <w:rsid w:val="00244214"/>
    <w:rsid w:val="0025540D"/>
    <w:rsid w:val="00255630"/>
    <w:rsid w:val="00256AC8"/>
    <w:rsid w:val="00263F6D"/>
    <w:rsid w:val="0026698B"/>
    <w:rsid w:val="00275DAB"/>
    <w:rsid w:val="002779AC"/>
    <w:rsid w:val="00280AFE"/>
    <w:rsid w:val="00281A56"/>
    <w:rsid w:val="00281FD6"/>
    <w:rsid w:val="00282EF2"/>
    <w:rsid w:val="00290236"/>
    <w:rsid w:val="00292C52"/>
    <w:rsid w:val="002A3DB1"/>
    <w:rsid w:val="002A4C04"/>
    <w:rsid w:val="002A53E8"/>
    <w:rsid w:val="002A78D9"/>
    <w:rsid w:val="002B3397"/>
    <w:rsid w:val="002B6042"/>
    <w:rsid w:val="002B6809"/>
    <w:rsid w:val="002C1C53"/>
    <w:rsid w:val="002C5264"/>
    <w:rsid w:val="002C726D"/>
    <w:rsid w:val="002C72D4"/>
    <w:rsid w:val="002D04E6"/>
    <w:rsid w:val="002D08E9"/>
    <w:rsid w:val="002D4DC8"/>
    <w:rsid w:val="002D64A0"/>
    <w:rsid w:val="002E00E0"/>
    <w:rsid w:val="002E41F8"/>
    <w:rsid w:val="002E5B37"/>
    <w:rsid w:val="002E6B8A"/>
    <w:rsid w:val="002F6C71"/>
    <w:rsid w:val="0030135F"/>
    <w:rsid w:val="00302F1E"/>
    <w:rsid w:val="003055EC"/>
    <w:rsid w:val="00307AB0"/>
    <w:rsid w:val="00316FD3"/>
    <w:rsid w:val="00317B7D"/>
    <w:rsid w:val="003205B6"/>
    <w:rsid w:val="0032318D"/>
    <w:rsid w:val="003253FA"/>
    <w:rsid w:val="00332C88"/>
    <w:rsid w:val="00332F8A"/>
    <w:rsid w:val="003346E4"/>
    <w:rsid w:val="00336556"/>
    <w:rsid w:val="00336B35"/>
    <w:rsid w:val="00347089"/>
    <w:rsid w:val="00347EA4"/>
    <w:rsid w:val="00361E88"/>
    <w:rsid w:val="00364357"/>
    <w:rsid w:val="003701AC"/>
    <w:rsid w:val="003729DC"/>
    <w:rsid w:val="00377417"/>
    <w:rsid w:val="00382110"/>
    <w:rsid w:val="003827B0"/>
    <w:rsid w:val="0038746A"/>
    <w:rsid w:val="00387ACE"/>
    <w:rsid w:val="00393721"/>
    <w:rsid w:val="00397BCC"/>
    <w:rsid w:val="003A56D6"/>
    <w:rsid w:val="003B0323"/>
    <w:rsid w:val="003B2503"/>
    <w:rsid w:val="003B42F8"/>
    <w:rsid w:val="003B4365"/>
    <w:rsid w:val="003B46BA"/>
    <w:rsid w:val="003C048B"/>
    <w:rsid w:val="003C152A"/>
    <w:rsid w:val="003C2111"/>
    <w:rsid w:val="003C6EDE"/>
    <w:rsid w:val="003D2BD1"/>
    <w:rsid w:val="003D5F6D"/>
    <w:rsid w:val="003D6257"/>
    <w:rsid w:val="003F224C"/>
    <w:rsid w:val="003F37C8"/>
    <w:rsid w:val="003F4C5A"/>
    <w:rsid w:val="003F61FF"/>
    <w:rsid w:val="003F62F6"/>
    <w:rsid w:val="003F635D"/>
    <w:rsid w:val="00400A0A"/>
    <w:rsid w:val="00411C01"/>
    <w:rsid w:val="0042604C"/>
    <w:rsid w:val="00433164"/>
    <w:rsid w:val="00433C68"/>
    <w:rsid w:val="00434C12"/>
    <w:rsid w:val="00441F74"/>
    <w:rsid w:val="004451E3"/>
    <w:rsid w:val="00445A0A"/>
    <w:rsid w:val="0044685C"/>
    <w:rsid w:val="00446CF4"/>
    <w:rsid w:val="004506D9"/>
    <w:rsid w:val="0045293C"/>
    <w:rsid w:val="00454F74"/>
    <w:rsid w:val="004661E2"/>
    <w:rsid w:val="004702A9"/>
    <w:rsid w:val="004741B9"/>
    <w:rsid w:val="00474948"/>
    <w:rsid w:val="004760D3"/>
    <w:rsid w:val="00480757"/>
    <w:rsid w:val="00486232"/>
    <w:rsid w:val="0049056C"/>
    <w:rsid w:val="00496427"/>
    <w:rsid w:val="00497392"/>
    <w:rsid w:val="004B792F"/>
    <w:rsid w:val="004C47CC"/>
    <w:rsid w:val="004C48E9"/>
    <w:rsid w:val="004D0C0B"/>
    <w:rsid w:val="004D1F57"/>
    <w:rsid w:val="004D246C"/>
    <w:rsid w:val="004E4853"/>
    <w:rsid w:val="004F064E"/>
    <w:rsid w:val="004F14BA"/>
    <w:rsid w:val="004F456B"/>
    <w:rsid w:val="004F5E09"/>
    <w:rsid w:val="005024B9"/>
    <w:rsid w:val="005034E0"/>
    <w:rsid w:val="00503EF3"/>
    <w:rsid w:val="00515AEB"/>
    <w:rsid w:val="00520539"/>
    <w:rsid w:val="005212EC"/>
    <w:rsid w:val="00523896"/>
    <w:rsid w:val="005268D0"/>
    <w:rsid w:val="0052785D"/>
    <w:rsid w:val="005315C4"/>
    <w:rsid w:val="00536064"/>
    <w:rsid w:val="005431AF"/>
    <w:rsid w:val="005460C4"/>
    <w:rsid w:val="005517BD"/>
    <w:rsid w:val="00553A2B"/>
    <w:rsid w:val="005564E5"/>
    <w:rsid w:val="00556D52"/>
    <w:rsid w:val="0056021C"/>
    <w:rsid w:val="00567DFF"/>
    <w:rsid w:val="005704E9"/>
    <w:rsid w:val="005719C8"/>
    <w:rsid w:val="00572634"/>
    <w:rsid w:val="00574C56"/>
    <w:rsid w:val="005759C0"/>
    <w:rsid w:val="00576006"/>
    <w:rsid w:val="00576904"/>
    <w:rsid w:val="005827EF"/>
    <w:rsid w:val="0058522C"/>
    <w:rsid w:val="005904DC"/>
    <w:rsid w:val="00597937"/>
    <w:rsid w:val="005A4118"/>
    <w:rsid w:val="005B1962"/>
    <w:rsid w:val="005B4023"/>
    <w:rsid w:val="005B457D"/>
    <w:rsid w:val="005C158D"/>
    <w:rsid w:val="005C2A7B"/>
    <w:rsid w:val="005C6429"/>
    <w:rsid w:val="005C6CC0"/>
    <w:rsid w:val="005D0B6F"/>
    <w:rsid w:val="005E2C41"/>
    <w:rsid w:val="005E4BC6"/>
    <w:rsid w:val="005E50A5"/>
    <w:rsid w:val="005E6807"/>
    <w:rsid w:val="005F1CDE"/>
    <w:rsid w:val="00600315"/>
    <w:rsid w:val="00607911"/>
    <w:rsid w:val="006120F5"/>
    <w:rsid w:val="00613660"/>
    <w:rsid w:val="00613D4F"/>
    <w:rsid w:val="0062473E"/>
    <w:rsid w:val="00624FC3"/>
    <w:rsid w:val="006414D1"/>
    <w:rsid w:val="006421A7"/>
    <w:rsid w:val="00644D53"/>
    <w:rsid w:val="00650708"/>
    <w:rsid w:val="00654814"/>
    <w:rsid w:val="00656840"/>
    <w:rsid w:val="00662DC8"/>
    <w:rsid w:val="00667F05"/>
    <w:rsid w:val="00670685"/>
    <w:rsid w:val="0067123F"/>
    <w:rsid w:val="00673736"/>
    <w:rsid w:val="006757AB"/>
    <w:rsid w:val="00682415"/>
    <w:rsid w:val="00683879"/>
    <w:rsid w:val="006863C7"/>
    <w:rsid w:val="00686AF7"/>
    <w:rsid w:val="00694445"/>
    <w:rsid w:val="006A212D"/>
    <w:rsid w:val="006A5E86"/>
    <w:rsid w:val="006B15C8"/>
    <w:rsid w:val="006B2536"/>
    <w:rsid w:val="006B2B67"/>
    <w:rsid w:val="006B6DDC"/>
    <w:rsid w:val="006B7A96"/>
    <w:rsid w:val="006C2F3E"/>
    <w:rsid w:val="006D1BE4"/>
    <w:rsid w:val="006D24D2"/>
    <w:rsid w:val="006D761D"/>
    <w:rsid w:val="006E35BB"/>
    <w:rsid w:val="006E37A8"/>
    <w:rsid w:val="006E7EF4"/>
    <w:rsid w:val="006F501E"/>
    <w:rsid w:val="006F6412"/>
    <w:rsid w:val="00704539"/>
    <w:rsid w:val="007049B4"/>
    <w:rsid w:val="00704E3B"/>
    <w:rsid w:val="007075B3"/>
    <w:rsid w:val="00712E81"/>
    <w:rsid w:val="00715678"/>
    <w:rsid w:val="007161D9"/>
    <w:rsid w:val="007211A5"/>
    <w:rsid w:val="0072644C"/>
    <w:rsid w:val="007275D4"/>
    <w:rsid w:val="00736DD0"/>
    <w:rsid w:val="0074479E"/>
    <w:rsid w:val="007451B4"/>
    <w:rsid w:val="00745CD0"/>
    <w:rsid w:val="00751C54"/>
    <w:rsid w:val="00752095"/>
    <w:rsid w:val="00764226"/>
    <w:rsid w:val="007670AA"/>
    <w:rsid w:val="00767220"/>
    <w:rsid w:val="0076796F"/>
    <w:rsid w:val="00770374"/>
    <w:rsid w:val="00772635"/>
    <w:rsid w:val="00776272"/>
    <w:rsid w:val="00777422"/>
    <w:rsid w:val="0078591F"/>
    <w:rsid w:val="00794163"/>
    <w:rsid w:val="007951ED"/>
    <w:rsid w:val="00795B40"/>
    <w:rsid w:val="007A02D8"/>
    <w:rsid w:val="007A0D9B"/>
    <w:rsid w:val="007A3A3F"/>
    <w:rsid w:val="007B134A"/>
    <w:rsid w:val="007B3AF1"/>
    <w:rsid w:val="007B4D77"/>
    <w:rsid w:val="007B5BEE"/>
    <w:rsid w:val="007C61E0"/>
    <w:rsid w:val="007C7A6A"/>
    <w:rsid w:val="007D012C"/>
    <w:rsid w:val="007E0308"/>
    <w:rsid w:val="007F012A"/>
    <w:rsid w:val="007F116A"/>
    <w:rsid w:val="007F1441"/>
    <w:rsid w:val="007F17B3"/>
    <w:rsid w:val="007F4D05"/>
    <w:rsid w:val="008027AA"/>
    <w:rsid w:val="00811F6F"/>
    <w:rsid w:val="00825BD6"/>
    <w:rsid w:val="008331BC"/>
    <w:rsid w:val="00844C33"/>
    <w:rsid w:val="00847FF0"/>
    <w:rsid w:val="008529C9"/>
    <w:rsid w:val="00853040"/>
    <w:rsid w:val="00856C5D"/>
    <w:rsid w:val="008642B0"/>
    <w:rsid w:val="00864D09"/>
    <w:rsid w:val="00870559"/>
    <w:rsid w:val="008711ED"/>
    <w:rsid w:val="0087129C"/>
    <w:rsid w:val="008748F1"/>
    <w:rsid w:val="00875D16"/>
    <w:rsid w:val="00881B14"/>
    <w:rsid w:val="00883238"/>
    <w:rsid w:val="0088417A"/>
    <w:rsid w:val="00885539"/>
    <w:rsid w:val="00891B65"/>
    <w:rsid w:val="00895EBA"/>
    <w:rsid w:val="00897DC1"/>
    <w:rsid w:val="008A1BDB"/>
    <w:rsid w:val="008B1196"/>
    <w:rsid w:val="008B2AF4"/>
    <w:rsid w:val="008C36B6"/>
    <w:rsid w:val="008C40EA"/>
    <w:rsid w:val="008C5921"/>
    <w:rsid w:val="008D372F"/>
    <w:rsid w:val="008D3797"/>
    <w:rsid w:val="008D3B1D"/>
    <w:rsid w:val="008D411D"/>
    <w:rsid w:val="008E0F85"/>
    <w:rsid w:val="008E71E8"/>
    <w:rsid w:val="008F1529"/>
    <w:rsid w:val="008F1AB4"/>
    <w:rsid w:val="008F259E"/>
    <w:rsid w:val="008F325C"/>
    <w:rsid w:val="009000F7"/>
    <w:rsid w:val="009044C2"/>
    <w:rsid w:val="009129F0"/>
    <w:rsid w:val="0091578D"/>
    <w:rsid w:val="00924139"/>
    <w:rsid w:val="0092751D"/>
    <w:rsid w:val="0093379A"/>
    <w:rsid w:val="00937D3B"/>
    <w:rsid w:val="0094060D"/>
    <w:rsid w:val="009435B3"/>
    <w:rsid w:val="00946A2E"/>
    <w:rsid w:val="00947EBF"/>
    <w:rsid w:val="00950070"/>
    <w:rsid w:val="00951C6E"/>
    <w:rsid w:val="00957ECD"/>
    <w:rsid w:val="00970DC3"/>
    <w:rsid w:val="00972A24"/>
    <w:rsid w:val="00973FC8"/>
    <w:rsid w:val="00982B0D"/>
    <w:rsid w:val="0098617C"/>
    <w:rsid w:val="0099049F"/>
    <w:rsid w:val="00994457"/>
    <w:rsid w:val="009A4943"/>
    <w:rsid w:val="009B129C"/>
    <w:rsid w:val="009B2129"/>
    <w:rsid w:val="009B78D4"/>
    <w:rsid w:val="009C0B9F"/>
    <w:rsid w:val="009C2032"/>
    <w:rsid w:val="009C68CE"/>
    <w:rsid w:val="009D13F7"/>
    <w:rsid w:val="009E4021"/>
    <w:rsid w:val="009F2427"/>
    <w:rsid w:val="009F50F9"/>
    <w:rsid w:val="00A0119E"/>
    <w:rsid w:val="00A039D6"/>
    <w:rsid w:val="00A1407B"/>
    <w:rsid w:val="00A14E83"/>
    <w:rsid w:val="00A15D9D"/>
    <w:rsid w:val="00A227D0"/>
    <w:rsid w:val="00A30467"/>
    <w:rsid w:val="00A418DA"/>
    <w:rsid w:val="00A43D1D"/>
    <w:rsid w:val="00A5531A"/>
    <w:rsid w:val="00A6320E"/>
    <w:rsid w:val="00A64FC5"/>
    <w:rsid w:val="00A67404"/>
    <w:rsid w:val="00A67B6F"/>
    <w:rsid w:val="00A67D7E"/>
    <w:rsid w:val="00A7142A"/>
    <w:rsid w:val="00A7619B"/>
    <w:rsid w:val="00A772E2"/>
    <w:rsid w:val="00A869E9"/>
    <w:rsid w:val="00A87879"/>
    <w:rsid w:val="00A912DA"/>
    <w:rsid w:val="00A94BDD"/>
    <w:rsid w:val="00AA0B3C"/>
    <w:rsid w:val="00AA124C"/>
    <w:rsid w:val="00AA6077"/>
    <w:rsid w:val="00AA6E83"/>
    <w:rsid w:val="00AB2C73"/>
    <w:rsid w:val="00AB4453"/>
    <w:rsid w:val="00AB532D"/>
    <w:rsid w:val="00AC3D78"/>
    <w:rsid w:val="00AC4D89"/>
    <w:rsid w:val="00AC6D5C"/>
    <w:rsid w:val="00AD1ADA"/>
    <w:rsid w:val="00AD50FD"/>
    <w:rsid w:val="00AE327F"/>
    <w:rsid w:val="00AE4196"/>
    <w:rsid w:val="00AE444E"/>
    <w:rsid w:val="00AE5AF8"/>
    <w:rsid w:val="00AF2D94"/>
    <w:rsid w:val="00AF697D"/>
    <w:rsid w:val="00AF788F"/>
    <w:rsid w:val="00B0333E"/>
    <w:rsid w:val="00B07D27"/>
    <w:rsid w:val="00B1051E"/>
    <w:rsid w:val="00B10B25"/>
    <w:rsid w:val="00B12467"/>
    <w:rsid w:val="00B12A5A"/>
    <w:rsid w:val="00B1646F"/>
    <w:rsid w:val="00B3122D"/>
    <w:rsid w:val="00B41B6B"/>
    <w:rsid w:val="00B431DA"/>
    <w:rsid w:val="00B540B2"/>
    <w:rsid w:val="00B55B11"/>
    <w:rsid w:val="00B655E6"/>
    <w:rsid w:val="00B675DB"/>
    <w:rsid w:val="00B6761E"/>
    <w:rsid w:val="00B73FE4"/>
    <w:rsid w:val="00B77149"/>
    <w:rsid w:val="00B7778A"/>
    <w:rsid w:val="00B81C27"/>
    <w:rsid w:val="00B91D3D"/>
    <w:rsid w:val="00B94799"/>
    <w:rsid w:val="00B9505E"/>
    <w:rsid w:val="00BA20E2"/>
    <w:rsid w:val="00BA4B57"/>
    <w:rsid w:val="00BA55A6"/>
    <w:rsid w:val="00BA7166"/>
    <w:rsid w:val="00BB4637"/>
    <w:rsid w:val="00BC781A"/>
    <w:rsid w:val="00BD3B25"/>
    <w:rsid w:val="00BE07A3"/>
    <w:rsid w:val="00BE47D2"/>
    <w:rsid w:val="00BE5BC3"/>
    <w:rsid w:val="00BF2450"/>
    <w:rsid w:val="00BF589E"/>
    <w:rsid w:val="00BF7EB0"/>
    <w:rsid w:val="00C052A7"/>
    <w:rsid w:val="00C0722C"/>
    <w:rsid w:val="00C075F2"/>
    <w:rsid w:val="00C13A37"/>
    <w:rsid w:val="00C14799"/>
    <w:rsid w:val="00C22E8B"/>
    <w:rsid w:val="00C23AAE"/>
    <w:rsid w:val="00C23C66"/>
    <w:rsid w:val="00C27F38"/>
    <w:rsid w:val="00C31390"/>
    <w:rsid w:val="00C31860"/>
    <w:rsid w:val="00C3326B"/>
    <w:rsid w:val="00C339D9"/>
    <w:rsid w:val="00C34083"/>
    <w:rsid w:val="00C37770"/>
    <w:rsid w:val="00C42FA9"/>
    <w:rsid w:val="00C43754"/>
    <w:rsid w:val="00C46331"/>
    <w:rsid w:val="00C50AB1"/>
    <w:rsid w:val="00C57E60"/>
    <w:rsid w:val="00C616FD"/>
    <w:rsid w:val="00C62E54"/>
    <w:rsid w:val="00C652D0"/>
    <w:rsid w:val="00C66D79"/>
    <w:rsid w:val="00C70374"/>
    <w:rsid w:val="00C71711"/>
    <w:rsid w:val="00C77A35"/>
    <w:rsid w:val="00C77FCB"/>
    <w:rsid w:val="00C8525F"/>
    <w:rsid w:val="00C8617E"/>
    <w:rsid w:val="00C93974"/>
    <w:rsid w:val="00C948A1"/>
    <w:rsid w:val="00C964BC"/>
    <w:rsid w:val="00C9743C"/>
    <w:rsid w:val="00CA0766"/>
    <w:rsid w:val="00CA0D4E"/>
    <w:rsid w:val="00CA75C9"/>
    <w:rsid w:val="00CA7ABF"/>
    <w:rsid w:val="00CB0353"/>
    <w:rsid w:val="00CB5CD4"/>
    <w:rsid w:val="00CC0E90"/>
    <w:rsid w:val="00CC3CB0"/>
    <w:rsid w:val="00CD29B1"/>
    <w:rsid w:val="00CD52F0"/>
    <w:rsid w:val="00CF10A9"/>
    <w:rsid w:val="00D0159B"/>
    <w:rsid w:val="00D06C0A"/>
    <w:rsid w:val="00D10A56"/>
    <w:rsid w:val="00D13E66"/>
    <w:rsid w:val="00D14431"/>
    <w:rsid w:val="00D15527"/>
    <w:rsid w:val="00D16B67"/>
    <w:rsid w:val="00D176CA"/>
    <w:rsid w:val="00D2202D"/>
    <w:rsid w:val="00D225A6"/>
    <w:rsid w:val="00D23799"/>
    <w:rsid w:val="00D26D44"/>
    <w:rsid w:val="00D36B8F"/>
    <w:rsid w:val="00D36C09"/>
    <w:rsid w:val="00D42911"/>
    <w:rsid w:val="00D57F5B"/>
    <w:rsid w:val="00D63659"/>
    <w:rsid w:val="00D63C93"/>
    <w:rsid w:val="00D64526"/>
    <w:rsid w:val="00D70398"/>
    <w:rsid w:val="00D80D27"/>
    <w:rsid w:val="00D821FB"/>
    <w:rsid w:val="00D82477"/>
    <w:rsid w:val="00D86F94"/>
    <w:rsid w:val="00D95307"/>
    <w:rsid w:val="00D9606B"/>
    <w:rsid w:val="00DA2083"/>
    <w:rsid w:val="00DA5CD2"/>
    <w:rsid w:val="00DA7A79"/>
    <w:rsid w:val="00DA7EBA"/>
    <w:rsid w:val="00DB0929"/>
    <w:rsid w:val="00DB37B9"/>
    <w:rsid w:val="00DB7299"/>
    <w:rsid w:val="00DC1EC2"/>
    <w:rsid w:val="00DC25E8"/>
    <w:rsid w:val="00DC3EDF"/>
    <w:rsid w:val="00DC5FAB"/>
    <w:rsid w:val="00DC7B75"/>
    <w:rsid w:val="00DD11CB"/>
    <w:rsid w:val="00DE0272"/>
    <w:rsid w:val="00DE0DA1"/>
    <w:rsid w:val="00DE20CA"/>
    <w:rsid w:val="00DE24C6"/>
    <w:rsid w:val="00DE4F56"/>
    <w:rsid w:val="00DE4FAD"/>
    <w:rsid w:val="00DE6921"/>
    <w:rsid w:val="00DF1127"/>
    <w:rsid w:val="00DF3DFE"/>
    <w:rsid w:val="00DF6E8B"/>
    <w:rsid w:val="00E00F3B"/>
    <w:rsid w:val="00E022D1"/>
    <w:rsid w:val="00E03D57"/>
    <w:rsid w:val="00E103E4"/>
    <w:rsid w:val="00E13DB4"/>
    <w:rsid w:val="00E21E01"/>
    <w:rsid w:val="00E23774"/>
    <w:rsid w:val="00E23878"/>
    <w:rsid w:val="00E255E1"/>
    <w:rsid w:val="00E323E4"/>
    <w:rsid w:val="00E3335D"/>
    <w:rsid w:val="00E35B20"/>
    <w:rsid w:val="00E41EFF"/>
    <w:rsid w:val="00E44C6F"/>
    <w:rsid w:val="00E4538C"/>
    <w:rsid w:val="00E459D8"/>
    <w:rsid w:val="00E4691E"/>
    <w:rsid w:val="00E50138"/>
    <w:rsid w:val="00E51723"/>
    <w:rsid w:val="00E5223A"/>
    <w:rsid w:val="00E563C3"/>
    <w:rsid w:val="00E6009E"/>
    <w:rsid w:val="00E6340F"/>
    <w:rsid w:val="00E655EA"/>
    <w:rsid w:val="00E67823"/>
    <w:rsid w:val="00E6798F"/>
    <w:rsid w:val="00E70722"/>
    <w:rsid w:val="00E87207"/>
    <w:rsid w:val="00E9032D"/>
    <w:rsid w:val="00E90E9C"/>
    <w:rsid w:val="00E9414B"/>
    <w:rsid w:val="00E96D00"/>
    <w:rsid w:val="00EA26F0"/>
    <w:rsid w:val="00EA2EF3"/>
    <w:rsid w:val="00EA7821"/>
    <w:rsid w:val="00EB3A0E"/>
    <w:rsid w:val="00EB3C53"/>
    <w:rsid w:val="00EB3CEB"/>
    <w:rsid w:val="00EB5089"/>
    <w:rsid w:val="00EB59B2"/>
    <w:rsid w:val="00EB7600"/>
    <w:rsid w:val="00EC1F63"/>
    <w:rsid w:val="00EC7697"/>
    <w:rsid w:val="00ED544D"/>
    <w:rsid w:val="00ED74AE"/>
    <w:rsid w:val="00EE67C2"/>
    <w:rsid w:val="00EE6C43"/>
    <w:rsid w:val="00F00B76"/>
    <w:rsid w:val="00F020A8"/>
    <w:rsid w:val="00F03A24"/>
    <w:rsid w:val="00F107B0"/>
    <w:rsid w:val="00F11D6F"/>
    <w:rsid w:val="00F11F70"/>
    <w:rsid w:val="00F145EE"/>
    <w:rsid w:val="00F14E07"/>
    <w:rsid w:val="00F15DC3"/>
    <w:rsid w:val="00F20087"/>
    <w:rsid w:val="00F22F17"/>
    <w:rsid w:val="00F263DC"/>
    <w:rsid w:val="00F328C1"/>
    <w:rsid w:val="00F3439A"/>
    <w:rsid w:val="00F35B21"/>
    <w:rsid w:val="00F41BBB"/>
    <w:rsid w:val="00F454F4"/>
    <w:rsid w:val="00F47C13"/>
    <w:rsid w:val="00F51F8E"/>
    <w:rsid w:val="00F521EA"/>
    <w:rsid w:val="00F53257"/>
    <w:rsid w:val="00F54CBC"/>
    <w:rsid w:val="00F55900"/>
    <w:rsid w:val="00F57751"/>
    <w:rsid w:val="00F70BE8"/>
    <w:rsid w:val="00F72F34"/>
    <w:rsid w:val="00F7596C"/>
    <w:rsid w:val="00F8067D"/>
    <w:rsid w:val="00F87B92"/>
    <w:rsid w:val="00F90C47"/>
    <w:rsid w:val="00F92261"/>
    <w:rsid w:val="00FA00EF"/>
    <w:rsid w:val="00FA6FCA"/>
    <w:rsid w:val="00FB049E"/>
    <w:rsid w:val="00FB3F66"/>
    <w:rsid w:val="00FB6A45"/>
    <w:rsid w:val="00FB717F"/>
    <w:rsid w:val="00FC6B56"/>
    <w:rsid w:val="00FC6F10"/>
    <w:rsid w:val="00FC76B7"/>
    <w:rsid w:val="00FD3B20"/>
    <w:rsid w:val="00FD731D"/>
    <w:rsid w:val="00FE0882"/>
    <w:rsid w:val="00FE1044"/>
    <w:rsid w:val="00FF012A"/>
    <w:rsid w:val="00FF3EF5"/>
    <w:rsid w:val="00FF5A6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0C94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0DA1"/>
    <w:pPr>
      <w:ind w:left="720"/>
      <w:contextualSpacing/>
    </w:pPr>
  </w:style>
  <w:style w:type="paragraph" w:styleId="Revision">
    <w:name w:val="Revision"/>
    <w:hidden/>
    <w:uiPriority w:val="99"/>
    <w:semiHidden/>
    <w:rsid w:val="00C075F2"/>
  </w:style>
  <w:style w:type="character" w:styleId="CommentReference">
    <w:name w:val="annotation reference"/>
    <w:basedOn w:val="DefaultParagraphFont"/>
    <w:uiPriority w:val="99"/>
    <w:semiHidden/>
    <w:unhideWhenUsed/>
    <w:rsid w:val="00027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4C5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autoRedefine/>
    <w:uiPriority w:val="99"/>
    <w:semiHidden/>
    <w:unhideWhenUsed/>
    <w:qFormat/>
    <w:rsid w:val="00B10B25"/>
    <w:pPr>
      <w:spacing w:line="360" w:lineRule="auto"/>
      <w:ind w:firstLine="567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nsi.b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s://infostat.nsi.bg/infostat/pages/module.jsf?x_2=56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756661502504881"/>
          <c:y val="0.20921932014595737"/>
          <c:w val="0.81043778249828302"/>
          <c:h val="0.539179607649399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GRAFIKI.BG!$A$4</c:f>
              <c:strCache>
                <c:ptCount val="1"/>
                <c:pt idx="0">
                  <c:v>Престъпления, завършили с осъждане</c:v>
                </c:pt>
              </c:strCache>
            </c:strRef>
          </c:tx>
          <c:spPr>
            <a:solidFill>
              <a:srgbClr val="295C61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GRAFIKI.BG!$B$3:$F$3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GRAFIKI.BG!$B$4:$F$4</c:f>
              <c:numCache>
                <c:formatCode>General</c:formatCode>
                <c:ptCount val="5"/>
                <c:pt idx="0">
                  <c:v>24962</c:v>
                </c:pt>
                <c:pt idx="1">
                  <c:v>23640</c:v>
                </c:pt>
                <c:pt idx="2">
                  <c:v>25988</c:v>
                </c:pt>
                <c:pt idx="3">
                  <c:v>26088</c:v>
                </c:pt>
                <c:pt idx="4">
                  <c:v>25169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3-4042-9600-E0E06F7A6EA2}"/>
            </c:ext>
          </c:extLst>
        </c:ser>
        <c:ser>
          <c:idx val="1"/>
          <c:order val="1"/>
          <c:tx>
            <c:strRef>
              <c:f>GRAFIKI.BG!$A$5</c:f>
              <c:strCache>
                <c:ptCount val="1"/>
                <c:pt idx="0">
                  <c:v>Осъдени лица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GRAFIKI.BG!$B$3:$F$3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GRAFIKI.BG!$B$5:$F$5</c:f>
              <c:numCache>
                <c:formatCode>General</c:formatCode>
                <c:ptCount val="5"/>
                <c:pt idx="0">
                  <c:v>23389</c:v>
                </c:pt>
                <c:pt idx="1">
                  <c:v>21889</c:v>
                </c:pt>
                <c:pt idx="2">
                  <c:v>24121</c:v>
                </c:pt>
                <c:pt idx="3">
                  <c:v>24047</c:v>
                </c:pt>
                <c:pt idx="4">
                  <c:v>23037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E3-4042-9600-E0E06F7A6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0613152"/>
        <c:axId val="1"/>
      </c:barChart>
      <c:catAx>
        <c:axId val="162061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rgbClr val="5B9BD5">
                      <a:lumMod val="5000"/>
                      <a:lumOff val="95000"/>
                    </a:srgbClr>
                  </a:gs>
                  <a:gs pos="74000">
                    <a:srgbClr val="5B9BD5">
                      <a:lumMod val="45000"/>
                      <a:lumOff val="55000"/>
                    </a:srgbClr>
                  </a:gs>
                  <a:gs pos="83000">
                    <a:srgbClr val="5B9BD5">
                      <a:lumMod val="45000"/>
                      <a:lumOff val="55000"/>
                    </a:srgbClr>
                  </a:gs>
                  <a:gs pos="100000">
                    <a:srgbClr val="5B9BD5">
                      <a:lumMod val="30000"/>
                      <a:lumOff val="70000"/>
                    </a:srgbClr>
                  </a:gs>
                </a:gsLst>
                <a:lin ang="5400000" scaled="1"/>
              </a:gra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bg-BG"/>
                  <a:t>Брой</a:t>
                </a:r>
              </a:p>
            </c:rich>
          </c:tx>
          <c:layout>
            <c:manualLayout>
              <c:xMode val="edge"/>
              <c:yMode val="edge"/>
              <c:x val="0.13867644011603814"/>
              <c:y val="0.1229398658501020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620613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3174264401160379"/>
          <c:y val="0.86073904662332135"/>
          <c:w val="0.80394736842105252"/>
          <c:h val="7.6097624726369786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79855643044619"/>
          <c:y val="0.10996563573883161"/>
          <c:w val="0.82838586089519983"/>
          <c:h val="0.666803762931695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GRAFIKI.BG!$C$93</c:f>
              <c:strCache>
                <c:ptCount val="1"/>
                <c:pt idx="0">
                  <c:v>14 - 17</c:v>
                </c:pt>
              </c:strCache>
            </c:strRef>
          </c:tx>
          <c:spPr>
            <a:solidFill>
              <a:srgbClr val="BFBFBF">
                <a:alpha val="96000"/>
              </a:srgbClr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/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B2FC-473B-A59A-3552C1AC435D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/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2FC-473B-A59A-3552C1AC435D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/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B2FC-473B-A59A-3552C1AC435D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GRAFIKI.BG!$D$93:$F$93</c:f>
              <c:numCache>
                <c:formatCode>0.0</c:formatCode>
                <c:ptCount val="3"/>
                <c:pt idx="0" formatCode="General">
                  <c:v>3.2</c:v>
                </c:pt>
                <c:pt idx="1">
                  <c:v>3.4</c:v>
                </c:pt>
                <c:pt idx="2" formatCode="General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FC-473B-A59A-3552C1AC435D}"/>
            </c:ext>
          </c:extLst>
        </c:ser>
        <c:ser>
          <c:idx val="1"/>
          <c:order val="1"/>
          <c:tx>
            <c:strRef>
              <c:f>GRAFIKI.BG!$C$94</c:f>
              <c:strCache>
                <c:ptCount val="1"/>
                <c:pt idx="0">
                  <c:v>18 - 24</c:v>
                </c:pt>
              </c:strCache>
            </c:strRef>
          </c:tx>
          <c:spPr>
            <a:solidFill>
              <a:srgbClr val="A8CBDC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GRAFIKI.BG!$D$94:$F$94</c:f>
              <c:numCache>
                <c:formatCode>General</c:formatCode>
                <c:ptCount val="3"/>
                <c:pt idx="0">
                  <c:v>20.8</c:v>
                </c:pt>
                <c:pt idx="1">
                  <c:v>21.1</c:v>
                </c:pt>
                <c:pt idx="2">
                  <c:v>16.899999999999999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FC-473B-A59A-3552C1AC435D}"/>
            </c:ext>
          </c:extLst>
        </c:ser>
        <c:ser>
          <c:idx val="2"/>
          <c:order val="2"/>
          <c:tx>
            <c:strRef>
              <c:f>GRAFIKI.BG!$C$95</c:f>
              <c:strCache>
                <c:ptCount val="1"/>
                <c:pt idx="0">
                  <c:v>25 - 29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GRAFIKI.BG!$D$95:$F$95</c:f>
              <c:numCache>
                <c:formatCode>General</c:formatCode>
                <c:ptCount val="3"/>
                <c:pt idx="0">
                  <c:v>14.1</c:v>
                </c:pt>
                <c:pt idx="1">
                  <c:v>13.9</c:v>
                </c:pt>
                <c:pt idx="2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FC-473B-A59A-3552C1AC435D}"/>
            </c:ext>
          </c:extLst>
        </c:ser>
        <c:ser>
          <c:idx val="3"/>
          <c:order val="3"/>
          <c:tx>
            <c:strRef>
              <c:f>GRAFIKI.BG!$C$96</c:f>
              <c:strCache>
                <c:ptCount val="1"/>
                <c:pt idx="0">
                  <c:v>30 - 39</c:v>
                </c:pt>
              </c:strCache>
            </c:strRef>
          </c:tx>
          <c:spPr>
            <a:solidFill>
              <a:srgbClr val="295C61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GRAFIKI.BG!$D$96:$F$96</c:f>
              <c:numCache>
                <c:formatCode>0.0</c:formatCode>
                <c:ptCount val="3"/>
                <c:pt idx="0" formatCode="General">
                  <c:v>28.4</c:v>
                </c:pt>
                <c:pt idx="1">
                  <c:v>28</c:v>
                </c:pt>
                <c:pt idx="2" formatCode="General">
                  <c:v>32.1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FC-473B-A59A-3552C1AC435D}"/>
            </c:ext>
          </c:extLst>
        </c:ser>
        <c:ser>
          <c:idx val="4"/>
          <c:order val="4"/>
          <c:tx>
            <c:strRef>
              <c:f>GRAFIKI.BG!$C$97</c:f>
              <c:strCache>
                <c:ptCount val="1"/>
                <c:pt idx="0">
                  <c:v>40 - 49</c:v>
                </c:pt>
              </c:strCache>
            </c:strRef>
          </c:tx>
          <c:spPr>
            <a:solidFill>
              <a:srgbClr val="90EEC8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GRAFIKI.BG!$D$97:$F$97</c:f>
              <c:numCache>
                <c:formatCode>0.0</c:formatCode>
                <c:ptCount val="3"/>
                <c:pt idx="0" formatCode="General">
                  <c:v>18.899999999999999</c:v>
                </c:pt>
                <c:pt idx="1">
                  <c:v>19</c:v>
                </c:pt>
                <c:pt idx="2" formatCode="General">
                  <c:v>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FC-473B-A59A-3552C1AC435D}"/>
            </c:ext>
          </c:extLst>
        </c:ser>
        <c:ser>
          <c:idx val="5"/>
          <c:order val="5"/>
          <c:tx>
            <c:strRef>
              <c:f>GRAFIKI.BG!$C$98</c:f>
              <c:strCache>
                <c:ptCount val="1"/>
                <c:pt idx="0">
                  <c:v>50+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GRAFIKI.BG!$D$92:$F$92</c:f>
              <c:strCache>
                <c:ptCount val="3"/>
                <c:pt idx="0">
                  <c:v>Общо</c:v>
                </c:pt>
                <c:pt idx="1">
                  <c:v>Мъже</c:v>
                </c:pt>
                <c:pt idx="2">
                  <c:v>Жени</c:v>
                </c:pt>
              </c:strCache>
            </c:strRef>
          </c:cat>
          <c:val>
            <c:numRef>
              <c:f>GRAFIKI.BG!$D$98:$F$98</c:f>
              <c:numCache>
                <c:formatCode>General</c:formatCode>
                <c:ptCount val="3"/>
                <c:pt idx="0">
                  <c:v>14.6</c:v>
                </c:pt>
                <c:pt idx="1">
                  <c:v>14.6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FC-473B-A59A-3552C1AC4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overlap val="100"/>
        <c:axId val="1620613984"/>
        <c:axId val="1"/>
      </c:barChart>
      <c:catAx>
        <c:axId val="16206139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800">
                <a:solidFill>
                  <a:sysClr val="windowText" lastClr="000000"/>
                </a:solidFill>
              </a:defRPr>
            </a:pPr>
            <a:endParaRPr lang="bg-BG"/>
          </a:p>
        </c:txPr>
        <c:crossAx val="1"/>
        <c:crosses val="autoZero"/>
        <c:auto val="0"/>
        <c:lblAlgn val="ctr"/>
        <c:lblOffset val="100"/>
        <c:tickLblSkip val="1"/>
        <c:noMultiLvlLbl val="0"/>
      </c:catAx>
      <c:valAx>
        <c:axId val="1"/>
        <c:scaling>
          <c:orientation val="minMax"/>
          <c:max val="100"/>
        </c:scaling>
        <c:delete val="0"/>
        <c:axPos val="t"/>
        <c:numFmt formatCode="General" sourceLinked="0"/>
        <c:majorTickMark val="none"/>
        <c:minorTickMark val="none"/>
        <c:tickLblPos val="high"/>
        <c:spPr>
          <a:ln>
            <a:noFill/>
          </a:ln>
        </c:spPr>
        <c:txPr>
          <a:bodyPr rot="0" vert="horz"/>
          <a:lstStyle/>
          <a:p>
            <a:pPr>
              <a:defRPr sz="700"/>
            </a:pPr>
            <a:endParaRPr lang="bg-BG"/>
          </a:p>
        </c:txPr>
        <c:crossAx val="1620613984"/>
        <c:crosses val="autoZero"/>
        <c:crossBetween val="between"/>
        <c:majorUnit val="10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7.9445319335083114E-2"/>
          <c:y val="0.89478057470795413"/>
          <c:w val="0.82421145841618282"/>
          <c:h val="6.1895747487522579E-2"/>
        </c:manualLayout>
      </c:layout>
      <c:overlay val="0"/>
      <c:txPr>
        <a:bodyPr/>
        <a:lstStyle/>
        <a:p>
          <a:pPr>
            <a:defRPr sz="700"/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213235105854561"/>
          <c:y val="2.3279577676552806E-2"/>
          <c:w val="0.43960000068276744"/>
          <c:h val="0.9314233926204769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A8CBDC"/>
            </a:solidFill>
            <a:ln>
              <a:solidFill>
                <a:srgbClr val="A8CBDC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9059012-F049-4BED-A05C-A02CC47C3528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CAC-4C00-931C-FE679959E2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AC-4C00-931C-FE679959E2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03CF74B-97B9-41F7-BC55-86C47B5A7965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CAC-4C00-931C-FE679959E2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6B8CBE6-12B6-4234-BEDE-825CBEB99B06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CAC-4C00-931C-FE679959E24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C6FB75E-ACC8-4F3C-A2FF-FE05E6B28868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CAC-4C00-931C-FE679959E24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8421E29C-F382-491E-B566-E60D3C778E8A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CAC-4C00-931C-FE679959E24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9501718-34CB-439F-8F0A-A26EF24D2F32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CAC-4C00-931C-FE679959E24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21A76568-BDAF-486D-ABBF-569602D3326F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CAC-4C00-931C-FE679959E246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9930DDC2-28DE-4B78-B455-10625C7B7313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CAC-4C00-931C-FE679959E246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462B9ABD-D05F-4053-9114-C94D2BF0DCBE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CAC-4C00-931C-FE679959E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Sheet1!$A$1:$A$10</c:f>
              <c:strCache>
                <c:ptCount val="10"/>
                <c:pt idx="0">
                  <c:v>Престъпления против финансовата, данъчната и осигурителната система</c:v>
                </c:pt>
                <c:pt idx="1">
                  <c:v>Престъпления против правата на гражданите</c:v>
                </c:pt>
                <c:pt idx="2">
                  <c:v>Престъпления против реда и общественото спокойствие</c:v>
                </c:pt>
                <c:pt idx="3">
                  <c:v>Престъпления против брака, семейството и младежта</c:v>
                </c:pt>
                <c:pt idx="4">
                  <c:v>Престъпления против стопанството</c:v>
                </c:pt>
                <c:pt idx="5">
                  <c:v>Документни престъпления</c:v>
                </c:pt>
                <c:pt idx="6">
                  <c:v>Престъпления против личността</c:v>
                </c:pt>
                <c:pt idx="7">
                  <c:v>Престъпления против дейността на държавни органи, обществени организации и лица, изпълняващи публични функции</c:v>
                </c:pt>
                <c:pt idx="8">
                  <c:v>Престъпления против собствеността</c:v>
                </c:pt>
                <c:pt idx="9">
                  <c:v>Общоопасни престъпления</c:v>
                </c:pt>
              </c:strCache>
            </c:strRef>
          </c:cat>
          <c:val>
            <c:numRef>
              <c:f>Sheet1!$B$1:$B$10</c:f>
              <c:numCache>
                <c:formatCode>General</c:formatCode>
                <c:ptCount val="10"/>
                <c:pt idx="0">
                  <c:v>0.3</c:v>
                </c:pt>
                <c:pt idx="1">
                  <c:v>0.9</c:v>
                </c:pt>
                <c:pt idx="2">
                  <c:v>1.9</c:v>
                </c:pt>
                <c:pt idx="3">
                  <c:v>2.5</c:v>
                </c:pt>
                <c:pt idx="4">
                  <c:v>3.7</c:v>
                </c:pt>
                <c:pt idx="5">
                  <c:v>3.8</c:v>
                </c:pt>
                <c:pt idx="6">
                  <c:v>7.4</c:v>
                </c:pt>
                <c:pt idx="7">
                  <c:v>10.8</c:v>
                </c:pt>
                <c:pt idx="8">
                  <c:v>18.899999999999999</c:v>
                </c:pt>
                <c:pt idx="9">
                  <c:v>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AC-4C00-931C-FE679959E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838380416"/>
        <c:axId val="838397888"/>
      </c:barChart>
      <c:catAx>
        <c:axId val="83838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838397888"/>
        <c:crosses val="autoZero"/>
        <c:auto val="1"/>
        <c:lblAlgn val="ctr"/>
        <c:lblOffset val="100"/>
        <c:noMultiLvlLbl val="0"/>
      </c:catAx>
      <c:valAx>
        <c:axId val="838397888"/>
        <c:scaling>
          <c:orientation val="minMax"/>
          <c:max val="60"/>
          <c:min val="0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rgbClr val="D6E6F5"/>
                  </a:gs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bg-BG"/>
                  <a:t>%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91432130429950331"/>
              <c:y val="0.930282933105830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83838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glow>
        <a:schemeClr val="accent1"/>
      </a:glow>
    </a:effectLst>
  </c:spPr>
  <c:txPr>
    <a:bodyPr/>
    <a:lstStyle/>
    <a:p>
      <a:pPr>
        <a:defRPr sz="80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185271378845713"/>
          <c:y val="3.6718301778542739E-2"/>
          <c:w val="0.47765414212398638"/>
          <c:h val="0.9215186053550534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A8CBDC"/>
            </a:solidFill>
            <a:ln>
              <a:solidFill>
                <a:srgbClr val="A8CBDC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6B8CBE6-12B6-4234-BEDE-825CBEB99B06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F93-4001-A9B7-F130F4B701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C6FB75E-ACC8-4F3C-A2FF-FE05E6B28868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93-4001-A9B7-F130F4B701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421E29C-F382-491E-B566-E60D3C778E8A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F93-4001-A9B7-F130F4B7013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9501718-34CB-439F-8F0A-A26EF24D2F32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93-4001-A9B7-F130F4B7013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1A76568-BDAF-486D-ABBF-569602D3326F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F93-4001-A9B7-F130F4B7013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930DDC2-28DE-4B78-B455-10625C7B7313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93-4001-A9B7-F130F4B7013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462B9ABD-D05F-4053-9114-C94D2BF0DCBE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F93-4001-A9B7-F130F4B7013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47.8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F0-4CCC-8F97-79DC18BDDE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Sheet2!$A$4:$A$13</c:f>
              <c:strCache>
                <c:ptCount val="10"/>
                <c:pt idx="0">
                  <c:v>Престъпления против финансовата, данъчната и осигурителната система</c:v>
                </c:pt>
                <c:pt idx="1">
                  <c:v>Престъпления против правата на гражданите</c:v>
                </c:pt>
                <c:pt idx="2">
                  <c:v>Престъпления против реда и общественото спокойствие</c:v>
                </c:pt>
                <c:pt idx="3">
                  <c:v>Престъпления против брака, семейството и младежта</c:v>
                </c:pt>
                <c:pt idx="4">
                  <c:v>Документни престъпления</c:v>
                </c:pt>
                <c:pt idx="5">
                  <c:v>Престъпления против стопанството</c:v>
                </c:pt>
                <c:pt idx="6">
                  <c:v>Престъпления против личността</c:v>
                </c:pt>
                <c:pt idx="7">
                  <c:v>Престъпления против дейността на държавни органи, обществени организации и лица, изпълняващи публични функции</c:v>
                </c:pt>
                <c:pt idx="8">
                  <c:v>Престъпления против собствеността</c:v>
                </c:pt>
                <c:pt idx="9">
                  <c:v>Общоопасни престъпления</c:v>
                </c:pt>
              </c:strCache>
            </c:strRef>
          </c:cat>
          <c:val>
            <c:numRef>
              <c:f>Sheet2!$B$4:$B$13</c:f>
              <c:numCache>
                <c:formatCode>General</c:formatCode>
                <c:ptCount val="10"/>
                <c:pt idx="0">
                  <c:v>0.3</c:v>
                </c:pt>
                <c:pt idx="1">
                  <c:v>0.9</c:v>
                </c:pt>
                <c:pt idx="2">
                  <c:v>1.8</c:v>
                </c:pt>
                <c:pt idx="3">
                  <c:v>2.5</c:v>
                </c:pt>
                <c:pt idx="4">
                  <c:v>3.3</c:v>
                </c:pt>
                <c:pt idx="5">
                  <c:v>3.9</c:v>
                </c:pt>
                <c:pt idx="6">
                  <c:v>6.3</c:v>
                </c:pt>
                <c:pt idx="7">
                  <c:v>11.1</c:v>
                </c:pt>
                <c:pt idx="8" formatCode="0.0">
                  <c:v>22</c:v>
                </c:pt>
                <c:pt idx="9">
                  <c:v>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F93-4001-A9B7-F130F4B70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838380416"/>
        <c:axId val="838397888"/>
      </c:barChart>
      <c:catAx>
        <c:axId val="838380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838397888"/>
        <c:crosses val="autoZero"/>
        <c:auto val="1"/>
        <c:lblAlgn val="ctr"/>
        <c:lblOffset val="100"/>
        <c:noMultiLvlLbl val="0"/>
      </c:catAx>
      <c:valAx>
        <c:axId val="838397888"/>
        <c:scaling>
          <c:orientation val="minMax"/>
          <c:max val="6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bg-BG"/>
                  <a:t>%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97924894499207704"/>
              <c:y val="0.933835349233031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/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83838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glow>
        <a:schemeClr val="accent1"/>
      </a:glow>
    </a:effectLst>
  </c:spPr>
  <c:txPr>
    <a:bodyPr/>
    <a:lstStyle/>
    <a:p>
      <a:pPr>
        <a:defRPr sz="7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7893652129801388"/>
          <c:y val="0.10996563573883161"/>
          <c:w val="0.65224793378450985"/>
          <c:h val="0.666803762931695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GRAFIKI.BG!$A$156</c:f>
              <c:strCache>
                <c:ptCount val="1"/>
                <c:pt idx="0">
                  <c:v>От едно лице</c:v>
                </c:pt>
              </c:strCache>
            </c:strRef>
          </c:tx>
          <c:spPr>
            <a:solidFill>
              <a:srgbClr val="A8CBDC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GRAFIKI.BG!$B$155:$J$155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GRAFIKI.BG!$B$156:$J$156</c:f>
              <c:numCache>
                <c:formatCode>0.0</c:formatCode>
                <c:ptCount val="9"/>
                <c:pt idx="0">
                  <c:v>94.6</c:v>
                </c:pt>
                <c:pt idx="1">
                  <c:v>94</c:v>
                </c:pt>
                <c:pt idx="2">
                  <c:v>97</c:v>
                </c:pt>
                <c:pt idx="3">
                  <c:v>88.9</c:v>
                </c:pt>
                <c:pt idx="4">
                  <c:v>94.4</c:v>
                </c:pt>
                <c:pt idx="5">
                  <c:v>94</c:v>
                </c:pt>
                <c:pt idx="6">
                  <c:v>99.6</c:v>
                </c:pt>
                <c:pt idx="7">
                  <c:v>89.5</c:v>
                </c:pt>
                <c:pt idx="8">
                  <c:v>99.1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A-4C1E-85CD-F0B326A7E96A}"/>
            </c:ext>
          </c:extLst>
        </c:ser>
        <c:ser>
          <c:idx val="1"/>
          <c:order val="1"/>
          <c:tx>
            <c:strRef>
              <c:f>GRAFIKI.BG!$A$157</c:f>
              <c:strCache>
                <c:ptCount val="1"/>
                <c:pt idx="0">
                  <c:v>От две лица</c:v>
                </c:pt>
              </c:strCache>
            </c:strRef>
          </c:tx>
          <c:spPr>
            <a:solidFill>
              <a:srgbClr val="295C61"/>
            </a:solidFill>
            <a:ln>
              <a:solidFill>
                <a:schemeClr val="bg1"/>
              </a:solidFill>
            </a:ln>
          </c:spPr>
          <c:invertIfNegative val="0"/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9A-4C1E-85CD-F0B326A7E96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9A-4C1E-85CD-F0B326A7E96A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GRAFIKI.BG!$B$155:$J$155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GRAFIKI.BG!$B$157:$J$157</c:f>
              <c:numCache>
                <c:formatCode>0.0</c:formatCode>
                <c:ptCount val="9"/>
                <c:pt idx="0">
                  <c:v>3.9</c:v>
                </c:pt>
                <c:pt idx="1">
                  <c:v>4.5999999999999996</c:v>
                </c:pt>
                <c:pt idx="2">
                  <c:v>2.7</c:v>
                </c:pt>
                <c:pt idx="3">
                  <c:v>9.1999999999999993</c:v>
                </c:pt>
                <c:pt idx="4">
                  <c:v>4.8</c:v>
                </c:pt>
                <c:pt idx="5">
                  <c:v>4.3</c:v>
                </c:pt>
                <c:pt idx="6">
                  <c:v>0.4</c:v>
                </c:pt>
                <c:pt idx="7">
                  <c:v>4.5999999999999996</c:v>
                </c:pt>
                <c:pt idx="8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9A-4C1E-85CD-F0B326A7E96A}"/>
            </c:ext>
          </c:extLst>
        </c:ser>
        <c:ser>
          <c:idx val="2"/>
          <c:order val="2"/>
          <c:tx>
            <c:strRef>
              <c:f>GRAFIKI.BG!$A$158</c:f>
              <c:strCache>
                <c:ptCount val="1"/>
                <c:pt idx="0">
                  <c:v>От три и повече лица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2432431285935967E-2"/>
                  <c:y val="0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9A-4C1E-85CD-F0B326A7E96A}"/>
                </c:ext>
              </c:extLst>
            </c:dLbl>
            <c:dLbl>
              <c:idx val="1"/>
              <c:layout>
                <c:manualLayout>
                  <c:x val="1.036035940494664E-2"/>
                  <c:y val="2.6286502286316451E-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9A-4C1E-85CD-F0B326A7E96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9A-4C1E-85CD-F0B326A7E96A}"/>
                </c:ext>
              </c:extLst>
            </c:dLbl>
            <c:dLbl>
              <c:idx val="3"/>
              <c:layout>
                <c:manualLayout>
                  <c:x val="1.0360359404946487E-2"/>
                  <c:y val="2.2579933529191677E-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9A-4C1E-85CD-F0B326A7E96A}"/>
                </c:ext>
              </c:extLst>
            </c:dLbl>
            <c:dLbl>
              <c:idx val="4"/>
              <c:layout>
                <c:manualLayout>
                  <c:x val="1.4504503166925295E-2"/>
                  <c:y val="5.2573004572632902E-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9A-4C1E-85CD-F0B326A7E96A}"/>
                </c:ext>
              </c:extLst>
            </c:dLbl>
            <c:dLbl>
              <c:idx val="5"/>
              <c:layout>
                <c:manualLayout>
                  <c:x val="1.4504503166925295E-2"/>
                  <c:y val="2.2579933529191677E-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9A-4C1E-85CD-F0B326A7E96A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9A-4C1E-85CD-F0B326A7E96A}"/>
                </c:ext>
              </c:extLst>
            </c:dLbl>
            <c:dLbl>
              <c:idx val="7"/>
              <c:layout>
                <c:manualLayout>
                  <c:x val="1.2432431285935967E-2"/>
                  <c:y val="2.2579933529191677E-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9A-4C1E-85CD-F0B326A7E96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79A-4C1E-85CD-F0B326A7E96A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GRAFIKI.BG!$B$155:$J$155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GRAFIKI.BG!$B$158:$J$158</c:f>
              <c:numCache>
                <c:formatCode>0.0</c:formatCode>
                <c:ptCount val="9"/>
                <c:pt idx="0">
                  <c:v>1.5</c:v>
                </c:pt>
                <c:pt idx="1">
                  <c:v>1.4</c:v>
                </c:pt>
                <c:pt idx="2">
                  <c:v>0.3</c:v>
                </c:pt>
                <c:pt idx="3">
                  <c:v>1.9</c:v>
                </c:pt>
                <c:pt idx="4">
                  <c:v>0.8</c:v>
                </c:pt>
                <c:pt idx="5">
                  <c:v>1.7</c:v>
                </c:pt>
                <c:pt idx="6">
                  <c:v>0</c:v>
                </c:pt>
                <c:pt idx="7">
                  <c:v>5.9</c:v>
                </c:pt>
                <c:pt idx="8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79A-4C1E-85CD-F0B326A7E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1620612320"/>
        <c:axId val="1"/>
      </c:barChart>
      <c:catAx>
        <c:axId val="16206123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600"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3066665277951366"/>
              <c:y val="0.72345883089117169"/>
            </c:manualLayout>
          </c:layout>
          <c:overlay val="0"/>
        </c:title>
        <c:numFmt formatCode="General" sourceLinked="0"/>
        <c:majorTickMark val="none"/>
        <c:minorTickMark val="none"/>
        <c:tickLblPos val="high"/>
        <c:spPr>
          <a:noFill/>
          <a:ln>
            <a:gradFill>
              <a:gsLst>
                <a:gs pos="0">
                  <a:srgbClr val="5B9BD5">
                    <a:lumMod val="5000"/>
                    <a:lumOff val="95000"/>
                  </a:srgbClr>
                </a:gs>
                <a:gs pos="74000">
                  <a:srgbClr val="5B9BD5">
                    <a:lumMod val="45000"/>
                    <a:lumOff val="55000"/>
                  </a:srgbClr>
                </a:gs>
                <a:gs pos="83000">
                  <a:srgbClr val="5B9BD5">
                    <a:lumMod val="45000"/>
                    <a:lumOff val="55000"/>
                  </a:srgbClr>
                </a:gs>
                <a:gs pos="100000">
                  <a:srgbClr val="5B9BD5">
                    <a:lumMod val="30000"/>
                    <a:lumOff val="70000"/>
                  </a:srgbClr>
                </a:gs>
              </a:gsLst>
              <a:lin ang="5400000" scaled="1"/>
            </a:gradFill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62061232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30431317613076142"/>
          <c:y val="0.84842311101840751"/>
          <c:w val="0.58468333819383678"/>
          <c:h val="8.103952651613911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 b="0" i="0" u="none" strike="noStrike" baseline="0">
          <a:ln>
            <a:noFill/>
          </a:ln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7893652129801388"/>
          <c:y val="0.10996563573883161"/>
          <c:w val="0.65224793378450985"/>
          <c:h val="0.666803762931695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GRAFIKI.BG!$A$181</c:f>
              <c:strCache>
                <c:ptCount val="1"/>
                <c:pt idx="0">
                  <c:v>За едно престъпление</c:v>
                </c:pt>
              </c:strCache>
            </c:strRef>
          </c:tx>
          <c:spPr>
            <a:solidFill>
              <a:srgbClr val="A8CBDC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GRAFIKI.BG!$B$181:$J$181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GRAFIKI.BG!$B$182:$J$182</c:f>
              <c:numCache>
                <c:formatCode>0.0</c:formatCode>
                <c:ptCount val="9"/>
                <c:pt idx="0">
                  <c:v>75.099999999999994</c:v>
                </c:pt>
                <c:pt idx="1">
                  <c:v>93</c:v>
                </c:pt>
                <c:pt idx="2">
                  <c:v>89.5</c:v>
                </c:pt>
                <c:pt idx="3">
                  <c:v>92.7</c:v>
                </c:pt>
                <c:pt idx="4">
                  <c:v>92.4</c:v>
                </c:pt>
                <c:pt idx="5">
                  <c:v>88.7</c:v>
                </c:pt>
                <c:pt idx="6">
                  <c:v>82.4</c:v>
                </c:pt>
                <c:pt idx="7">
                  <c:v>60.5</c:v>
                </c:pt>
                <c:pt idx="8">
                  <c:v>87.4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8-4B98-9D96-F1575ED73B4D}"/>
            </c:ext>
          </c:extLst>
        </c:ser>
        <c:ser>
          <c:idx val="1"/>
          <c:order val="1"/>
          <c:tx>
            <c:strRef>
              <c:f>GRAFIKI.BG!$A$182</c:f>
              <c:strCache>
                <c:ptCount val="1"/>
                <c:pt idx="0">
                  <c:v>За две престъпления</c:v>
                </c:pt>
              </c:strCache>
            </c:strRef>
          </c:tx>
          <c:spPr>
            <a:solidFill>
              <a:srgbClr val="295C61"/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GRAFIKI.BG!$B$181:$J$181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GRAFIKI.BG!$B$183:$J$183</c:f>
              <c:numCache>
                <c:formatCode>0.0</c:formatCode>
                <c:ptCount val="9"/>
                <c:pt idx="0">
                  <c:v>17.7</c:v>
                </c:pt>
                <c:pt idx="1">
                  <c:v>6.5</c:v>
                </c:pt>
                <c:pt idx="2">
                  <c:v>9.4</c:v>
                </c:pt>
                <c:pt idx="3">
                  <c:v>6.4</c:v>
                </c:pt>
                <c:pt idx="4">
                  <c:v>6.1</c:v>
                </c:pt>
                <c:pt idx="5">
                  <c:v>9.3000000000000007</c:v>
                </c:pt>
                <c:pt idx="6">
                  <c:v>16.600000000000001</c:v>
                </c:pt>
                <c:pt idx="7">
                  <c:v>24.7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98-4B98-9D96-F1575ED73B4D}"/>
            </c:ext>
          </c:extLst>
        </c:ser>
        <c:ser>
          <c:idx val="2"/>
          <c:order val="2"/>
          <c:tx>
            <c:strRef>
              <c:f>GRAFIKI.BG!$A$183</c:f>
              <c:strCache>
                <c:ptCount val="1"/>
                <c:pt idx="0">
                  <c:v>За три и повече престъпления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GRAFIKI.BG!$B$181:$J$181</c:f>
              <c:strCache>
                <c:ptCount val="9"/>
                <c:pt idx="0">
                  <c:v>Против личността</c:v>
                </c:pt>
                <c:pt idx="1">
                  <c:v>Против правата на гражданите</c:v>
                </c:pt>
                <c:pt idx="2">
                  <c:v>Против брака, семейството и младежта</c:v>
                </c:pt>
                <c:pt idx="3">
                  <c:v>Против собствеността</c:v>
                </c:pt>
                <c:pt idx="4">
                  <c:v>Против стопанството</c:v>
                </c:pt>
                <c:pt idx="5">
                  <c:v>Против дейността на държавни органи и други</c:v>
                </c:pt>
                <c:pt idx="6">
                  <c:v>Документни престъпления</c:v>
                </c:pt>
                <c:pt idx="7">
                  <c:v>Против реда и общественото спокойствие</c:v>
                </c:pt>
                <c:pt idx="8">
                  <c:v>Общоопасни престъпления</c:v>
                </c:pt>
              </c:strCache>
            </c:strRef>
          </c:cat>
          <c:val>
            <c:numRef>
              <c:f>GRAFIKI.BG!$B$184:$J$184</c:f>
              <c:numCache>
                <c:formatCode>0.0</c:formatCode>
                <c:ptCount val="9"/>
                <c:pt idx="0">
                  <c:v>7.2</c:v>
                </c:pt>
                <c:pt idx="1">
                  <c:v>0.5</c:v>
                </c:pt>
                <c:pt idx="2">
                  <c:v>1.1000000000000001</c:v>
                </c:pt>
                <c:pt idx="3">
                  <c:v>0.87094220110847198</c:v>
                </c:pt>
                <c:pt idx="4">
                  <c:v>1.5</c:v>
                </c:pt>
                <c:pt idx="5">
                  <c:v>2</c:v>
                </c:pt>
                <c:pt idx="6">
                  <c:v>1</c:v>
                </c:pt>
                <c:pt idx="7">
                  <c:v>14.8</c:v>
                </c:pt>
                <c:pt idx="8">
                  <c:v>1.6215762056797176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98-4B98-9D96-F1575ED73B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1620622720"/>
        <c:axId val="1"/>
      </c:barChart>
      <c:catAx>
        <c:axId val="16206227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700"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  <c:min val="0"/>
        </c:scaling>
        <c:delete val="0"/>
        <c:axPos val="t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bg-BG"/>
                  <a:t>%</a:t>
                </a:r>
              </a:p>
            </c:rich>
          </c:tx>
          <c:layout>
            <c:manualLayout>
              <c:xMode val="edge"/>
              <c:yMode val="edge"/>
              <c:x val="0.94011053249313448"/>
              <c:y val="0.72388773771699588"/>
            </c:manualLayout>
          </c:layout>
          <c:overlay val="0"/>
          <c:spPr>
            <a:ln>
              <a:noFill/>
            </a:ln>
          </c:spPr>
        </c:title>
        <c:numFmt formatCode="General" sourceLinked="0"/>
        <c:majorTickMark val="none"/>
        <c:minorTickMark val="none"/>
        <c:tickLblPos val="high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bg-BG"/>
          </a:p>
        </c:txPr>
        <c:crossAx val="162062272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278291300381982"/>
          <c:y val="0.86846984047477749"/>
          <c:w val="0.71481636823012684"/>
          <c:h val="5.43410555430998E-2"/>
        </c:manualLayout>
      </c:layout>
      <c:overlay val="0"/>
      <c:txPr>
        <a:bodyPr/>
        <a:lstStyle/>
        <a:p>
          <a:pPr>
            <a:defRPr sz="700"/>
          </a:pPr>
          <a:endParaRPr lang="bg-BG"/>
        </a:p>
      </c:txPr>
    </c:legend>
    <c:plotVisOnly val="0"/>
    <c:dispBlanksAs val="gap"/>
    <c:showDLblsOverMax val="0"/>
  </c:chart>
  <c:spPr>
    <a:ln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Calibri"/>
        </a:defRPr>
      </a:pPr>
      <a:endParaRPr lang="bg-BG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DB28-06EF-464E-B95D-38C4E4C4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Lilova</cp:lastModifiedBy>
  <cp:revision>5</cp:revision>
  <cp:lastPrinted>2024-07-04T10:38:00Z</cp:lastPrinted>
  <dcterms:created xsi:type="dcterms:W3CDTF">2024-07-11T08:59:00Z</dcterms:created>
  <dcterms:modified xsi:type="dcterms:W3CDTF">2024-07-11T09:15:00Z</dcterms:modified>
</cp:coreProperties>
</file>