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38" w:rsidRPr="007C13A2" w:rsidRDefault="00F26B38" w:rsidP="00F26B38">
      <w:pPr>
        <w:spacing w:line="240" w:lineRule="auto"/>
        <w:ind w:left="1134" w:hanging="1134"/>
        <w:jc w:val="center"/>
        <w:rPr>
          <w:rFonts w:ascii="Times New Roman" w:hAnsi="Times New Roman"/>
          <w:b/>
          <w:bCs/>
          <w:szCs w:val="18"/>
          <w:lang w:eastAsia="bg-BG"/>
        </w:rPr>
      </w:pPr>
      <w:bookmarkStart w:id="0" w:name="_Toc100575241"/>
      <w:bookmarkStart w:id="1" w:name="_GoBack"/>
      <w:bookmarkEnd w:id="1"/>
      <w:r w:rsidRPr="007C13A2">
        <w:rPr>
          <w:rFonts w:ascii="Times New Roman" w:hAnsi="Times New Roman"/>
          <w:b/>
          <w:bCs/>
          <w:szCs w:val="18"/>
          <w:lang w:eastAsia="bg-BG"/>
        </w:rPr>
        <w:t>ОСНОВНИ МАКРОИКОНОМИЧЕСКИ ПОКАЗАТЕЛИ</w:t>
      </w:r>
      <w:bookmarkEnd w:id="0"/>
    </w:p>
    <w:p w:rsidR="00F26B38" w:rsidRPr="007C13A2" w:rsidRDefault="00F26B38" w:rsidP="00F26B38">
      <w:pPr>
        <w:spacing w:after="0" w:line="240" w:lineRule="auto"/>
        <w:rPr>
          <w:rFonts w:ascii="Times New Roman" w:hAnsi="Times New Roman"/>
          <w:lang w:eastAsia="zh-CN"/>
        </w:rPr>
      </w:pPr>
    </w:p>
    <w:tbl>
      <w:tblPr>
        <w:tblW w:w="5313" w:type="pct"/>
        <w:jc w:val="center"/>
        <w:tblBorders>
          <w:top w:val="single" w:sz="6" w:space="0" w:color="838383"/>
          <w:bottom w:val="single" w:sz="6" w:space="0" w:color="838383"/>
        </w:tblBorders>
        <w:tblLook w:val="00A0" w:firstRow="1" w:lastRow="0" w:firstColumn="1" w:lastColumn="0" w:noHBand="0" w:noVBand="0"/>
      </w:tblPr>
      <w:tblGrid>
        <w:gridCol w:w="4384"/>
        <w:gridCol w:w="866"/>
        <w:gridCol w:w="866"/>
        <w:gridCol w:w="866"/>
        <w:gridCol w:w="866"/>
        <w:gridCol w:w="866"/>
        <w:gridCol w:w="926"/>
      </w:tblGrid>
      <w:tr w:rsidR="00F26B38" w:rsidRPr="007C13A2" w:rsidTr="00EB300A">
        <w:trPr>
          <w:trHeight w:val="20"/>
          <w:tblHeader/>
          <w:jc w:val="center"/>
        </w:trPr>
        <w:tc>
          <w:tcPr>
            <w:tcW w:w="227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Основни макроикономически показатели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Отчетни данни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Прогноза</w:t>
            </w:r>
          </w:p>
        </w:tc>
      </w:tr>
      <w:tr w:rsidR="00F26B38" w:rsidRPr="007C13A2" w:rsidTr="00EB300A">
        <w:trPr>
          <w:trHeight w:val="20"/>
          <w:tblHeader/>
          <w:jc w:val="center"/>
        </w:trPr>
        <w:tc>
          <w:tcPr>
            <w:tcW w:w="2274" w:type="pct"/>
            <w:vMerge/>
            <w:tcBorders>
              <w:top w:val="single" w:sz="4" w:space="0" w:color="auto"/>
              <w:bottom w:val="single" w:sz="4" w:space="0" w:color="auto"/>
            </w:tcBorders>
            <w:noWrap/>
          </w:tcPr>
          <w:p w:rsidR="00F26B38" w:rsidRPr="007C13A2" w:rsidRDefault="00F26B38" w:rsidP="00EB300A">
            <w:pPr>
              <w:spacing w:before="40" w:after="40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2020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2021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2022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2023</w:t>
            </w:r>
          </w:p>
        </w:tc>
        <w:tc>
          <w:tcPr>
            <w:tcW w:w="4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2024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F26B38" w:rsidRPr="007C13A2" w:rsidRDefault="00F26B38" w:rsidP="00EB300A">
            <w:pPr>
              <w:spacing w:before="40" w:after="40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2025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B38" w:rsidRPr="007C13A2" w:rsidRDefault="00F26B38" w:rsidP="00EB300A">
            <w:pPr>
              <w:spacing w:before="40" w:after="40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Брутен вътрешен продукт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tcBorders>
              <w:top w:val="nil"/>
            </w:tcBorders>
            <w:noWrap/>
            <w:vAlign w:val="center"/>
          </w:tcPr>
          <w:p w:rsidR="00F26B38" w:rsidRPr="00BA3935" w:rsidRDefault="00F26B38" w:rsidP="00EB300A">
            <w:pPr>
              <w:spacing w:before="40" w:after="40"/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</w:pPr>
            <w:r w:rsidRPr="00BA3935"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  <w:t>БВП (млн. лв.)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jc w:val="center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120 553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jc w:val="center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139 012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161 721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173 826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186 001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hAnsi="Times New Roman"/>
                <w:color w:val="0070C0"/>
                <w:sz w:val="20"/>
                <w:lang w:eastAsia="bg-BG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197 715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BA3935" w:rsidRDefault="00F26B38" w:rsidP="00EB300A">
            <w:pPr>
              <w:spacing w:before="40" w:after="40"/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</w:pPr>
            <w:r w:rsidRPr="00BA3935"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  <w:t>БВП (реален растеж, %)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-4.0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7.6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2.9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3.4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3.3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Потребление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1.4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6.7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3.8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2.7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3.0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3.0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proofErr w:type="spellStart"/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Брутообразуване</w:t>
            </w:r>
            <w:proofErr w:type="spellEnd"/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 xml:space="preserve"> на основен капитал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0.6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-8.3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-3.6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4.9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9.5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6.1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Износ на стоки и услуги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-10.4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11.0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5.4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1.5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4.8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4.9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Внос на стоки и услуги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-4.3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10.9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7.6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3.4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5.5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5.1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5000" w:type="pct"/>
            <w:gridSpan w:val="7"/>
            <w:noWrap/>
            <w:vAlign w:val="center"/>
          </w:tcPr>
          <w:p w:rsidR="00F26B38" w:rsidRPr="007C13A2" w:rsidRDefault="00F26B38" w:rsidP="00EB300A">
            <w:pPr>
              <w:spacing w:before="40" w:after="40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Пазар на труда и цени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Заетост (ЕСС 2010) (%)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-2.3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0.2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0.9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0.4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0.8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0.5</w:t>
            </w:r>
          </w:p>
        </w:tc>
      </w:tr>
      <w:tr w:rsidR="00F26B38" w:rsidRPr="00BA3935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BA3935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</w:pPr>
            <w:r w:rsidRPr="00BA3935"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  <w:t>Коефициент на безработица (НРС) (%)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5.1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5.3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4.6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4.5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4.3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4.2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Компенсации на един нает (%)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7.2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11.3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15.0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9.9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8.7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7.5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proofErr w:type="spellStart"/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Дефлатор</w:t>
            </w:r>
            <w:proofErr w:type="spellEnd"/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 xml:space="preserve"> на БВП (%)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4.3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7.1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13.1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5.8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3.5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2.9</w:t>
            </w:r>
          </w:p>
        </w:tc>
      </w:tr>
      <w:tr w:rsidR="00F26B38" w:rsidRPr="00BA3935" w:rsidTr="00EB300A">
        <w:trPr>
          <w:trHeight w:val="20"/>
          <w:jc w:val="center"/>
        </w:trPr>
        <w:tc>
          <w:tcPr>
            <w:tcW w:w="2274" w:type="pct"/>
            <w:vAlign w:val="center"/>
          </w:tcPr>
          <w:p w:rsidR="00F26B38" w:rsidRPr="00BA3935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</w:pPr>
            <w:r w:rsidRPr="00BA3935">
              <w:rPr>
                <w:rFonts w:ascii="Times New Roman" w:eastAsia="Calibri" w:hAnsi="Times New Roman"/>
                <w:bCs/>
                <w:color w:val="0070C0"/>
                <w:sz w:val="20"/>
                <w:lang w:eastAsia="en-GB"/>
              </w:rPr>
              <w:t>Средногодишна инфлация (ХИПЦ) (%)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2.8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12.7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6.4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3.2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BA3935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color w:val="0070C0"/>
                <w:sz w:val="20"/>
              </w:rPr>
            </w:pPr>
            <w:r w:rsidRPr="00BA3935">
              <w:rPr>
                <w:rFonts w:ascii="Times New Roman" w:hAnsi="Times New Roman"/>
                <w:color w:val="0070C0"/>
                <w:sz w:val="20"/>
                <w:lang w:eastAsia="bg-BG"/>
              </w:rPr>
              <w:t>2.4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5000" w:type="pct"/>
            <w:gridSpan w:val="7"/>
            <w:noWrap/>
            <w:vAlign w:val="center"/>
          </w:tcPr>
          <w:p w:rsidR="00F26B38" w:rsidRPr="007C13A2" w:rsidRDefault="00F26B38" w:rsidP="00EB300A">
            <w:pPr>
              <w:spacing w:before="40" w:after="40"/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/>
                <w:bCs/>
                <w:sz w:val="20"/>
                <w:lang w:eastAsia="en-GB"/>
              </w:rPr>
              <w:t>Платежен баланс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Текуща сметка (% от БВП)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0.0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-0.5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-0.7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-1.2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-1.2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-1.0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tcBorders>
              <w:bottom w:val="nil"/>
            </w:tcBorders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Търговски баланс (% от БВП)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-3.1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-4.1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-4.9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-5.6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-5.8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-5.7</w:t>
            </w:r>
          </w:p>
        </w:tc>
      </w:tr>
      <w:tr w:rsidR="00F26B38" w:rsidRPr="007C13A2" w:rsidTr="00EB300A">
        <w:trPr>
          <w:trHeight w:val="20"/>
          <w:jc w:val="center"/>
        </w:trPr>
        <w:tc>
          <w:tcPr>
            <w:tcW w:w="2274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F26B38" w:rsidRPr="007C13A2" w:rsidRDefault="00F26B38" w:rsidP="00EB300A">
            <w:pPr>
              <w:spacing w:before="40" w:after="40"/>
              <w:ind w:left="283"/>
              <w:rPr>
                <w:rFonts w:ascii="Times New Roman" w:eastAsia="Calibri" w:hAnsi="Times New Roman"/>
                <w:bCs/>
                <w:sz w:val="20"/>
                <w:lang w:eastAsia="en-GB"/>
              </w:rPr>
            </w:pPr>
            <w:r w:rsidRPr="007C13A2">
              <w:rPr>
                <w:rFonts w:ascii="Times New Roman" w:eastAsia="Calibri" w:hAnsi="Times New Roman"/>
                <w:bCs/>
                <w:sz w:val="20"/>
                <w:lang w:eastAsia="en-GB"/>
              </w:rPr>
              <w:t>Преки чуждестранни инвестиции (% от БВП)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5.1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2.5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2.4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2.5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2.6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</w:tcPr>
          <w:p w:rsidR="00F26B38" w:rsidRPr="007C13A2" w:rsidRDefault="00F26B38" w:rsidP="00EB300A">
            <w:pPr>
              <w:ind w:firstLineChars="100" w:firstLine="200"/>
              <w:jc w:val="right"/>
              <w:rPr>
                <w:rFonts w:ascii="Times New Roman" w:eastAsia="Calibri" w:hAnsi="Times New Roman"/>
                <w:sz w:val="20"/>
              </w:rPr>
            </w:pPr>
            <w:r w:rsidRPr="007C13A2">
              <w:rPr>
                <w:rFonts w:ascii="Times New Roman" w:hAnsi="Times New Roman"/>
                <w:sz w:val="20"/>
                <w:lang w:eastAsia="bg-BG"/>
              </w:rPr>
              <w:t>2.5</w:t>
            </w:r>
          </w:p>
        </w:tc>
      </w:tr>
    </w:tbl>
    <w:p w:rsidR="0008442D" w:rsidRDefault="0008442D"/>
    <w:sectPr w:rsidR="00084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38"/>
    <w:rsid w:val="0008442D"/>
    <w:rsid w:val="00886BC8"/>
    <w:rsid w:val="00F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0463E-B656-418B-8715-1157CBF6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ДБЮ</dc:creator>
  <cp:keywords/>
  <dc:description/>
  <cp:lastModifiedBy>Мая Миланова</cp:lastModifiedBy>
  <cp:revision>2</cp:revision>
  <dcterms:created xsi:type="dcterms:W3CDTF">2022-10-20T10:56:00Z</dcterms:created>
  <dcterms:modified xsi:type="dcterms:W3CDTF">2022-10-20T10:56:00Z</dcterms:modified>
</cp:coreProperties>
</file>