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E2DE" w14:textId="77777777" w:rsidR="00F54022" w:rsidRPr="004D682B" w:rsidRDefault="00F54022" w:rsidP="0073032C">
      <w:pPr>
        <w:keepNext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14C9266F" w14:textId="77777777" w:rsidR="00F54022" w:rsidRPr="004D682B" w:rsidRDefault="00F54022" w:rsidP="0073032C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Pr="004D682B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МАЙ </w:t>
      </w:r>
      <w:r w:rsidRPr="004D682B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03D42441" w14:textId="7D7ADF9E" w:rsidR="00F54022" w:rsidRPr="009B7B87" w:rsidRDefault="00EE6BAB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май 2024 г. </w:t>
      </w:r>
      <w:r w:rsidRPr="009B7B87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повишава с 0.6 пункта спрямо предходния месец (от 24.8% на 25.4%) (</w:t>
      </w:r>
      <w:r w:rsidR="00873EB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фиг. 1 от приложението). Подобрение на показателя се наблюдава в строителството, търговията на дребно и </w:t>
      </w:r>
      <w:r w:rsidR="00B951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докато в промишлеността е регистрирано понижение.</w:t>
      </w:r>
    </w:p>
    <w:p w14:paraId="7C7F805D" w14:textId="6B6D1167" w:rsidR="00F54022" w:rsidRPr="009B7B87" w:rsidRDefault="00F54022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спада с 6.9 пункта (от 24.7% на 17.8%)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873EB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2 от приложението), което се дължи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негативните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оценки и очаквания на промишлените предприемачи за бизнес състоянието на предприятията. Анкетата </w:t>
      </w:r>
      <w:r w:rsidRPr="003227E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отчита намаление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на осигуреността на производството с поръчки, което е съпроводено и с влошени очаквания за производствената активност през следващите три месеца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B951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3 от приложението).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426C7D2D" w14:textId="0F0BE9A2" w:rsidR="00F54022" w:rsidRPr="009B7B87" w:rsidRDefault="00E476B1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затруднения за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дейността в сектора остават несигурната икономическа среда и недостигът на работна сила, посочени съответно от 50.3 и 30.7% от предприятията (</w:t>
      </w:r>
      <w:r w:rsidR="00B951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4 от приложението).</w:t>
      </w:r>
    </w:p>
    <w:p w14:paraId="570AF7E5" w14:textId="709CA2EC" w:rsidR="00EE6BAB" w:rsidRPr="009B7B87" w:rsidRDefault="00F54022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Относно продажните цени в промишлеността преобладаващата част от мениджърите предвиждат те да останат без промяна през следващите три месеца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B7B87">
        <w:rPr>
          <w:rFonts w:ascii="Verdana" w:eastAsia="Calibri" w:hAnsi="Verdana" w:cs="Times New Roman"/>
          <w:sz w:val="20"/>
          <w:szCs w:val="20"/>
        </w:rPr>
        <w:t>(</w:t>
      </w:r>
      <w:r w:rsidR="00A869F7">
        <w:rPr>
          <w:rFonts w:ascii="Verdana" w:eastAsia="Calibri" w:hAnsi="Verdana" w:cs="Times New Roman"/>
          <w:sz w:val="20"/>
          <w:szCs w:val="20"/>
        </w:rPr>
        <w:t xml:space="preserve">виж </w:t>
      </w:r>
      <w:r w:rsidRPr="009B7B87">
        <w:rPr>
          <w:rFonts w:ascii="Verdana" w:eastAsia="Calibri" w:hAnsi="Verdana" w:cs="Times New Roman"/>
          <w:sz w:val="20"/>
          <w:szCs w:val="20"/>
        </w:rPr>
        <w:t>фиг.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5</w:t>
      </w:r>
      <w:r w:rsidRPr="009B7B87">
        <w:rPr>
          <w:rFonts w:ascii="Verdana" w:eastAsia="Calibri" w:hAnsi="Verdana" w:cs="Times New Roman"/>
          <w:sz w:val="20"/>
          <w:szCs w:val="20"/>
        </w:rPr>
        <w:t xml:space="preserve"> от приложението).</w:t>
      </w:r>
    </w:p>
    <w:p w14:paraId="5AD4F025" w14:textId="0BAFAAE7" w:rsidR="00EE6BAB" w:rsidRPr="009B7B87" w:rsidRDefault="00F54022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строителството“ нараства с 4.8 пункта (от 26.6% на 31.4%) (</w:t>
      </w:r>
      <w:r w:rsidR="003D036F">
        <w:rPr>
          <w:rFonts w:ascii="Verdana" w:eastAsia="Times New Roman" w:hAnsi="Verdana" w:cs="Times New Roman"/>
          <w:sz w:val="20"/>
          <w:szCs w:val="20"/>
          <w:lang w:eastAsia="bg-BG"/>
        </w:rPr>
        <w:t>виж</w:t>
      </w:r>
      <w:r w:rsidR="002845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6 от приложението) в резултат на позитивните оценки и очаквания на строителните предприемачи за бизнес състоянието на предприятията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EE6BAB"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По-благоприятни са и прогнозите им относно строителната активност през следващите три месеца (</w:t>
      </w:r>
      <w:r w:rsidR="003D036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="00EE6BAB"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фиг. 7 от приложението). Същевременно обаче последната анкета </w:t>
      </w:r>
      <w:r w:rsidR="003F1857">
        <w:rPr>
          <w:rFonts w:ascii="Verdana" w:eastAsia="Μοντέρνα" w:hAnsi="Verdana" w:cs="Times New Roman"/>
          <w:sz w:val="20"/>
          <w:szCs w:val="20"/>
          <w:lang w:eastAsia="bg-BG"/>
        </w:rPr>
        <w:t>регистрира</w:t>
      </w:r>
      <w:r w:rsidR="00EE6BAB" w:rsidRPr="009B7B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увеличение на броя на клиентите със закъснения в плащанията.</w:t>
      </w:r>
    </w:p>
    <w:p w14:paraId="360DA11F" w14:textId="18C48948" w:rsidR="00F54022" w:rsidRPr="009B7B87" w:rsidRDefault="00E476B1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есигурната икономическа среда, недостигът на работна сила и цените на материалите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продължават да бъдат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основните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пречки за развитието на бизнеса. </w:t>
      </w:r>
      <w:r w:rsidR="00E54D99" w:rsidRPr="009B7B87">
        <w:rPr>
          <w:rFonts w:ascii="Verdana" w:eastAsia="Times New Roman" w:hAnsi="Verdana" w:cs="Times New Roman"/>
          <w:sz w:val="20"/>
          <w:szCs w:val="20"/>
          <w:lang w:eastAsia="bg-BG"/>
        </w:rPr>
        <w:t>В сравнение с април</w:t>
      </w:r>
      <w:r w:rsidR="006907EE"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отчита и засилване на негативното възд</w:t>
      </w:r>
      <w:r w:rsidR="003F1857">
        <w:rPr>
          <w:rFonts w:ascii="Verdana" w:eastAsia="Times New Roman" w:hAnsi="Verdana" w:cs="Times New Roman"/>
          <w:sz w:val="20"/>
          <w:szCs w:val="20"/>
          <w:lang w:eastAsia="bg-BG"/>
        </w:rPr>
        <w:t>ействие на фактора „конкуренция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бранша“ (</w:t>
      </w:r>
      <w:r w:rsidR="0028452A">
        <w:rPr>
          <w:rFonts w:ascii="Verdana" w:eastAsia="Times New Roman" w:hAnsi="Verdana" w:cs="Times New Roman"/>
          <w:sz w:val="20"/>
          <w:szCs w:val="20"/>
          <w:lang w:eastAsia="bg-BG"/>
        </w:rPr>
        <w:t>виж</w:t>
      </w:r>
      <w:r w:rsidR="007662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54022"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8 от приложението).</w:t>
      </w:r>
    </w:p>
    <w:p w14:paraId="43EAE865" w14:textId="61D2EB84" w:rsidR="003F1857" w:rsidRPr="009B7B87" w:rsidRDefault="003F1857" w:rsidP="003F185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По отношение на продажните цени в строителството очакванията на мениджърите са за запазване на тяхното равнище през следващите три месеца (</w:t>
      </w:r>
      <w:r w:rsidR="0028452A">
        <w:rPr>
          <w:rFonts w:ascii="Verdana" w:eastAsia="Μοντέρνα" w:hAnsi="Verdana" w:cs="Times New Roman"/>
          <w:sz w:val="20"/>
          <w:szCs w:val="20"/>
          <w:lang w:eastAsia="bg-BG"/>
        </w:rPr>
        <w:t>виж</w:t>
      </w:r>
      <w:r w:rsidR="00717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9 от приложението).</w:t>
      </w:r>
    </w:p>
    <w:p w14:paraId="25E24522" w14:textId="77777777" w:rsidR="00444D20" w:rsidRPr="009B7B87" w:rsidRDefault="00444D20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44D20" w:rsidRPr="009B7B87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7482E60A" w14:textId="4C3E3257" w:rsidR="00F54022" w:rsidRPr="009B7B87" w:rsidRDefault="00F54022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B7B8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Търговия на дребно.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се покачва с 10.9 пункта (от 29.7% на 40.6%) (</w:t>
      </w:r>
      <w:r w:rsidR="0028452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фиг. 10 от приложението), което се дължи на оптимистичните оценки и 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очаквания на търговците на дребно за бизнес състоянието на предприятията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. Позитивни са и прогнозите им относно обема на продажбите (</w:t>
      </w:r>
      <w:r w:rsidR="00DA68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11 от приложението) и поръчките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към доставчиците през следващите три месеца.</w:t>
      </w:r>
    </w:p>
    <w:p w14:paraId="5CC012C7" w14:textId="4AE29BD7" w:rsidR="00F54022" w:rsidRPr="009B7B87" w:rsidRDefault="00F54022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През последния месец </w:t>
      </w:r>
      <w:r w:rsidR="00A17DD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нараства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отрицателното влияние на фактора „конкуренция в бранша“, който измества на второ място затрудненията на предприятията</w:t>
      </w:r>
      <w:r w:rsidR="00E476B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свързани с несигурната икономическа среда. На трето и четвърто място остават </w:t>
      </w:r>
      <w:r w:rsidR="00E476B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факторите „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недостатъчно търсене</w:t>
      </w:r>
      <w:r w:rsidR="00E476B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“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</w:t>
      </w:r>
      <w:r w:rsidR="00E476B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недостиг на работна сила</w:t>
      </w:r>
      <w:r w:rsidR="00E476B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“</w:t>
      </w:r>
      <w:r w:rsidRPr="009B7B8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DA68E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фиг. 12 от приложението).</w:t>
      </w:r>
    </w:p>
    <w:p w14:paraId="4F9D53F4" w14:textId="749B7A3F" w:rsidR="004D682B" w:rsidRPr="009B7B87" w:rsidRDefault="004D682B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Относно продажните цени търговците на дребно</w:t>
      </w:r>
      <w:r w:rsidRPr="009B7B87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предвиждат леко увеличение през следващите три месеца (</w:t>
      </w:r>
      <w:r w:rsidR="00DA68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13 от приложението).</w:t>
      </w:r>
    </w:p>
    <w:p w14:paraId="61AA948D" w14:textId="523E77D9" w:rsidR="004D682B" w:rsidRPr="009B7B87" w:rsidRDefault="004D682B" w:rsidP="00E1619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9B7B8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. През май съставният показател „бизнес климат в сектора на услугите“ се повишава с 1.3 пункта (от 18.3% на 19.6%) (</w:t>
      </w:r>
      <w:r w:rsidR="000D3C6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14 от приложението)</w:t>
      </w:r>
      <w:r w:rsidRPr="009B7B8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F54022" w:rsidRPr="009B7B8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 резултат на по-благоприятните оценки на мениджърите за настоящото бизнес състояние на предприятията. Мненията им за настоящото търсене на услуги също се подобряват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0D3C6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15 от приложението), докато очакванията за следващите три месеца се изместват към по-умерените мнения.</w:t>
      </w:r>
    </w:p>
    <w:p w14:paraId="6811C80D" w14:textId="04B68355" w:rsidR="00F54022" w:rsidRPr="009B7B87" w:rsidRDefault="00F54022" w:rsidP="00E161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проблеми за развитието на бизнеса продължават да бъдат несигурната икономическа среда, недостиг</w:t>
      </w:r>
      <w:r w:rsidR="00E476B1">
        <w:rPr>
          <w:rFonts w:ascii="Verdana" w:eastAsia="Times New Roman" w:hAnsi="Verdana" w:cs="Times New Roman"/>
          <w:sz w:val="20"/>
          <w:szCs w:val="20"/>
          <w:lang w:eastAsia="bg-BG"/>
        </w:rPr>
        <w:t>ъ</w:t>
      </w:r>
      <w:r w:rsidR="00096A71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 и конкуренцията в бранша, като спрямо април е регистрирано </w:t>
      </w:r>
      <w:r w:rsidR="00A17DD0">
        <w:rPr>
          <w:rFonts w:ascii="Verdana" w:eastAsia="Times New Roman" w:hAnsi="Verdana" w:cs="Times New Roman"/>
          <w:sz w:val="20"/>
          <w:szCs w:val="20"/>
          <w:lang w:eastAsia="bg-BG"/>
        </w:rPr>
        <w:t>засилване</w:t>
      </w:r>
      <w:r w:rsidRPr="009B7B8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негативното им въздействие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0D3C6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16 от приложението).</w:t>
      </w:r>
    </w:p>
    <w:p w14:paraId="0D348AF8" w14:textId="10AFDF1F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7B8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отношение на продажните цени в сектора на услугите по-голяма част от мениджърите </w:t>
      </w:r>
      <w:r w:rsidR="00C00E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очакват</w:t>
      </w:r>
      <w:r w:rsidRPr="009B7B8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те да запазят своето равнище през следващите три месеца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0D3C6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9B7B87">
        <w:rPr>
          <w:rFonts w:ascii="Verdana" w:eastAsia="Μοντέρνα" w:hAnsi="Verdana" w:cs="Times New Roman"/>
          <w:sz w:val="20"/>
          <w:szCs w:val="20"/>
          <w:lang w:eastAsia="bg-BG"/>
        </w:rPr>
        <w:t>фиг. 17 от приложението).</w:t>
      </w:r>
    </w:p>
    <w:p w14:paraId="08D70624" w14:textId="42035C33" w:rsidR="00F54022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1417F7F3" w14:textId="2599A3F4" w:rsidR="00F54022" w:rsidRPr="004D682B" w:rsidRDefault="00F54022" w:rsidP="00875136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1AE8F398" w14:textId="777D988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наблюденията в промишлеността, строителството, търговията на дребно и </w:t>
      </w:r>
      <w:r w:rsidR="000D3C6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75D5DA58" w14:textId="50B7368F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2240EC12" wp14:editId="2FAD29E2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282650C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юли 2010 г. НСИ публикува данните от бизнес анкетите съобразно новата Класификация на икономическите дейности (КИД - 2008) (NACE Rev. 2). Всички динамични редове са преизчислени съобразно Класификацията и са съпоставими във времето.</w:t>
      </w:r>
    </w:p>
    <w:p w14:paraId="60F621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Отговорите на въпросите от анкетите са представени в тристепенна категорийна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5D7906A8" w14:textId="680232FB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</w:t>
      </w:r>
      <w:r w:rsidR="007875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като последният показател е включен в общия динамичен ред от май 2002 година.</w:t>
      </w:r>
    </w:p>
    <w:p w14:paraId="07014150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56334B37" w14:textId="77777777" w:rsidR="00F54022" w:rsidRPr="004D682B" w:rsidRDefault="00F54022" w:rsidP="00C378AF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8D95CD1" w14:textId="77777777" w:rsidR="00F54022" w:rsidRPr="004D682B" w:rsidRDefault="00F54022" w:rsidP="00C378AF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15CA7D9E" w14:textId="77777777" w:rsidR="001F5108" w:rsidRDefault="00593518" w:rsidP="00C378AF">
      <w:pPr>
        <w:tabs>
          <w:tab w:val="left" w:pos="4485"/>
        </w:tabs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12C9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67.6pt" o:preferrelative="f">
            <v:imagedata r:id="rId12" o:title=""/>
            <o:lock v:ext="edit" aspectratio="f"/>
          </v:shape>
        </w:pict>
      </w:r>
    </w:p>
    <w:p w14:paraId="1441D903" w14:textId="77777777" w:rsidR="00F54022" w:rsidRDefault="00F54022" w:rsidP="00C378AF">
      <w:pPr>
        <w:tabs>
          <w:tab w:val="left" w:pos="448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3D2F0DEC" w14:textId="77777777" w:rsidR="00F54022" w:rsidRPr="004D682B" w:rsidRDefault="00593518" w:rsidP="004D5DD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6BEA489">
          <v:shape id="_x0000_i1026" type="#_x0000_t75" style="width:423pt;height:267.6pt" o:preferrelative="f">
            <v:imagedata r:id="rId13" o:title=""/>
            <o:lock v:ext="edit" aspectratio="f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35FBA9" w14:textId="77777777" w:rsidR="00F54022" w:rsidRPr="004D682B" w:rsidRDefault="00F54022" w:rsidP="00581D1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581D11" w:rsidRPr="00581D1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производствена активност в промишлеността през следващите три месеца</w:t>
      </w:r>
    </w:p>
    <w:p w14:paraId="1F0475F0" w14:textId="77777777" w:rsidR="00F54022" w:rsidRPr="004D682B" w:rsidRDefault="00593518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ABAEAF9">
          <v:shape id="_x0000_i1027" type="#_x0000_t75" style="width:423pt;height:267.6pt" o:preferrelative="f">
            <v:imagedata r:id="rId14" o:title=""/>
            <o:lock v:ext="edit" aspectratio="f"/>
          </v:shape>
        </w:pict>
      </w:r>
    </w:p>
    <w:p w14:paraId="092D2F1D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2575247C" w14:textId="77777777" w:rsidR="00F54022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A055E53" w14:textId="77777777" w:rsidR="00F54022" w:rsidRPr="004D682B" w:rsidRDefault="00593518" w:rsidP="004D5DD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FD505B6">
          <v:shape id="_x0000_i1028" type="#_x0000_t75" style="width:423pt;height:267.6pt" o:preferrelative="f">
            <v:imagedata r:id="rId15" o:title=""/>
            <o:lock v:ext="edit" aspectratio="f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B004F3F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C378AF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5ED0D76" w14:textId="77777777" w:rsidR="00F54022" w:rsidRPr="004D682B" w:rsidRDefault="00593518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A48D3E1">
          <v:shape id="_x0000_i1029" type="#_x0000_t75" style="width:423pt;height:267.6pt" o:preferrelative="f">
            <v:imagedata r:id="rId16" o:title=""/>
            <o:lock v:ext="edit" aspectratio="f"/>
          </v:shape>
        </w:pict>
      </w:r>
    </w:p>
    <w:p w14:paraId="622A3F15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09C2F2F5" w14:textId="77777777" w:rsidR="003B783D" w:rsidRPr="004D682B" w:rsidRDefault="00593518" w:rsidP="004D5DD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6F56ADA">
          <v:shape id="_x0000_i1030" type="#_x0000_t75" style="width:423pt;height:267.6pt" o:preferrelative="f">
            <v:imagedata r:id="rId17" o:title=""/>
            <o:lock v:ext="edit" aspectratio="f"/>
          </v:shape>
        </w:pict>
      </w:r>
      <w:r w:rsidR="003B783D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6EF4AD1" w14:textId="77777777" w:rsidR="00F54022" w:rsidRPr="004D682B" w:rsidRDefault="00F54022" w:rsidP="00B35DA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B35DAC" w:rsidRPr="00B35DAC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7515F509" w14:textId="77777777" w:rsidR="00F54022" w:rsidRPr="004D682B" w:rsidRDefault="00593518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01120D0">
          <v:shape id="_x0000_i1031" type="#_x0000_t75" style="width:423pt;height:267.6pt" o:preferrelative="f">
            <v:imagedata r:id="rId18" o:title=""/>
            <o:lock v:ext="edit" aspectratio="f"/>
          </v:shape>
        </w:pict>
      </w:r>
    </w:p>
    <w:p w14:paraId="6666548D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EC68FD8" w14:textId="77777777" w:rsidR="00F54022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2893D84" w14:textId="77777777" w:rsidR="00F54022" w:rsidRPr="004D682B" w:rsidRDefault="00664CFB" w:rsidP="00C378AF">
      <w:pPr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</w:rPr>
        <w:pict w14:anchorId="4C248974">
          <v:shape id="_x0000_s1044" type="#_x0000_t75" style="position:absolute;margin-left:15pt;margin-top:0;width:423pt;height:267.75pt;z-index:251661312;mso-position-horizontal:absolute;mso-position-horizontal-relative:text;mso-position-vertical-relative:text" o:preferrelative="f">
            <v:imagedata r:id="rId19" o:title=""/>
            <o:lock v:ext="edit" aspectratio="f"/>
            <w10:wrap type="square" side="right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609C819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C378AF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04E2413" w14:textId="77777777" w:rsidR="00F54022" w:rsidRPr="004D682B" w:rsidRDefault="00664CFB" w:rsidP="00C378AF">
      <w:pPr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0BA0254">
          <v:shape id="_x0000_i1032" type="#_x0000_t75" style="width:423pt;height:267.6pt" o:preferrelative="f">
            <v:imagedata r:id="rId20" o:title=""/>
            <o:lock v:ext="edit" aspectratio="f"/>
          </v:shape>
        </w:pict>
      </w:r>
    </w:p>
    <w:p w14:paraId="10CAC133" w14:textId="77777777" w:rsidR="00444D20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4D628244" w14:textId="77777777" w:rsidR="003B783D" w:rsidRPr="004D682B" w:rsidRDefault="00664CFB" w:rsidP="004D5DD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AF82C86">
          <v:shape id="_x0000_i1033" type="#_x0000_t75" style="width:423pt;height:267.6pt" o:preferrelative="f">
            <v:imagedata r:id="rId21" o:title=""/>
            <o:lock v:ext="edit" aspectratio="f"/>
          </v:shape>
        </w:pict>
      </w:r>
      <w:r w:rsidR="003B783D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72C4225" w14:textId="77777777" w:rsidR="00F54022" w:rsidRPr="004D682B" w:rsidRDefault="00F54022" w:rsidP="00C378AF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11. Очаквания за продажбите в търговията на дребно през следващите три месеца</w:t>
      </w:r>
    </w:p>
    <w:p w14:paraId="57F25E4E" w14:textId="77777777" w:rsidR="00F54022" w:rsidRPr="004D682B" w:rsidRDefault="00664CFB" w:rsidP="00C378AF">
      <w:pPr>
        <w:autoSpaceDE w:val="0"/>
        <w:autoSpaceDN w:val="0"/>
        <w:adjustRightInd w:val="0"/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DD112FB">
          <v:shape id="_x0000_i1034" type="#_x0000_t75" style="width:423pt;height:267.6pt" o:preferrelative="f">
            <v:imagedata r:id="rId22" o:title=""/>
            <o:lock v:ext="edit" aspectratio="f"/>
          </v:shape>
        </w:pict>
      </w:r>
    </w:p>
    <w:p w14:paraId="0818C083" w14:textId="77777777" w:rsidR="00F54022" w:rsidRPr="004D682B" w:rsidRDefault="00F54022" w:rsidP="00C378AF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389E23D4" w14:textId="77777777" w:rsidR="00F54022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5D1455F" w14:textId="77777777" w:rsidR="00F54022" w:rsidRPr="004D682B" w:rsidRDefault="00664CFB" w:rsidP="00662AE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8D1FC3A">
          <v:shape id="_x0000_i1035" type="#_x0000_t75" style="width:423pt;height:267.6pt" o:preferrelative="f">
            <v:imagedata r:id="rId23" o:title=""/>
            <o:lock v:ext="edit" aspectratio="f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85F20AE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2475A4E1" w14:textId="77777777" w:rsidR="00F54022" w:rsidRPr="004D682B" w:rsidRDefault="00664CFB" w:rsidP="00C378AF">
      <w:pPr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AC61D21">
          <v:shape id="_x0000_i1036" type="#_x0000_t75" style="width:423pt;height:267.6pt" o:preferrelative="f">
            <v:imagedata r:id="rId24" o:title=""/>
            <o:lock v:ext="edit" aspectratio="f"/>
          </v:shape>
        </w:pict>
      </w:r>
    </w:p>
    <w:p w14:paraId="50431445" w14:textId="77777777" w:rsidR="00F54022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Бизнес климат в сектора на услугите</w:t>
      </w:r>
    </w:p>
    <w:p w14:paraId="386D6E50" w14:textId="77777777" w:rsidR="00F54022" w:rsidRPr="004D682B" w:rsidRDefault="00664CFB" w:rsidP="00662AE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D584F94">
          <v:shape id="_x0000_i1037" type="#_x0000_t75" style="width:423pt;height:267.6pt" o:preferrelative="f">
            <v:imagedata r:id="rId25" o:title=""/>
            <o:lock v:ext="edit" aspectratio="f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92DC555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15. </w:t>
      </w:r>
      <w:r w:rsidR="00923EA7" w:rsidRPr="00923EA7">
        <w:rPr>
          <w:rFonts w:ascii="Verdana" w:eastAsia="Μοντέρνα" w:hAnsi="Verdana" w:cs="Times New Roman"/>
          <w:b/>
          <w:sz w:val="20"/>
          <w:szCs w:val="20"/>
          <w:lang w:eastAsia="bg-BG"/>
        </w:rPr>
        <w:t>Търсене в сектора на услугите през последните три месеца</w:t>
      </w:r>
    </w:p>
    <w:p w14:paraId="4BF838A7" w14:textId="77777777" w:rsidR="00F54022" w:rsidRPr="004D682B" w:rsidRDefault="00664CFB" w:rsidP="00C378AF">
      <w:pPr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FF1E3BE">
          <v:shape id="_x0000_i1038" type="#_x0000_t75" style="width:423pt;height:267.6pt" o:preferrelative="f">
            <v:imagedata r:id="rId26" o:title=""/>
            <o:lock v:ext="edit" aspectratio="f"/>
          </v:shape>
        </w:pict>
      </w:r>
    </w:p>
    <w:p w14:paraId="0CA2324B" w14:textId="77777777" w:rsidR="00F54022" w:rsidRPr="004D682B" w:rsidRDefault="00F54022" w:rsidP="00C378A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45700FA2" w14:textId="77777777" w:rsidR="00F54022" w:rsidRDefault="00F54022" w:rsidP="00C378AF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  <w:bookmarkStart w:id="0" w:name="_GoBack"/>
      <w:bookmarkEnd w:id="0"/>
    </w:p>
    <w:p w14:paraId="77149004" w14:textId="77777777" w:rsidR="00F54022" w:rsidRPr="004D682B" w:rsidRDefault="00664CFB" w:rsidP="00662AE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DBAB6FB">
          <v:shape id="_x0000_i1039" type="#_x0000_t75" style="width:423pt;height:267.6pt" o:preferrelative="f">
            <v:imagedata r:id="rId27" o:title=""/>
            <o:lock v:ext="edit" aspectratio="f"/>
          </v:shape>
        </w:pict>
      </w:r>
      <w:r w:rsidR="00F54022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AE5E54F" w14:textId="77777777" w:rsidR="00F54022" w:rsidRPr="004D682B" w:rsidRDefault="00F54022" w:rsidP="00C378AF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C378AF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09AEB48" w14:textId="77777777" w:rsidR="00171C36" w:rsidRPr="004D682B" w:rsidRDefault="00664CFB" w:rsidP="00C378A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3F0A958C">
          <v:shape id="_x0000_i1040" type="#_x0000_t75" style="width:423pt;height:267.6pt" o:preferrelative="f">
            <v:imagedata r:id="rId28" o:title=""/>
            <o:lock v:ext="edit" aspectratio="f"/>
          </v:shape>
        </w:pict>
      </w:r>
    </w:p>
    <w:sectPr w:rsidR="00171C36" w:rsidRPr="004D682B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019A" w14:textId="77777777" w:rsidR="00664CFB" w:rsidRDefault="00664CFB" w:rsidP="00214ACA">
      <w:r>
        <w:separator/>
      </w:r>
    </w:p>
  </w:endnote>
  <w:endnote w:type="continuationSeparator" w:id="0">
    <w:p w14:paraId="28EF46BD" w14:textId="77777777" w:rsidR="00664CFB" w:rsidRDefault="00664CF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808A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88B2C0" wp14:editId="5E3E53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6913" w14:textId="465723A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02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88B2C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64966913" w14:textId="465723A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902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804274F" wp14:editId="7264CD8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02D86FE" wp14:editId="0DA074C0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F376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3EBBE9C" wp14:editId="05FC0E9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1C94965" wp14:editId="12116F8D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0556C" w14:textId="0642A69E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02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9496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5950556C" w14:textId="0642A69E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902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611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542065E" wp14:editId="70FB097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9A6A804" wp14:editId="39888B7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8D7B1" w14:textId="1685D230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02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A6A8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978D7B1" w14:textId="1685D230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902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65BA1FC" wp14:editId="44621225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FAD0978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E7B0" w14:textId="77777777" w:rsidR="00664CFB" w:rsidRDefault="00664CFB" w:rsidP="00214ACA">
      <w:r>
        <w:separator/>
      </w:r>
    </w:p>
  </w:footnote>
  <w:footnote w:type="continuationSeparator" w:id="0">
    <w:p w14:paraId="7D18B2FA" w14:textId="77777777" w:rsidR="00664CFB" w:rsidRDefault="00664CFB" w:rsidP="00214ACA">
      <w:r>
        <w:continuationSeparator/>
      </w:r>
    </w:p>
  </w:footnote>
  <w:footnote w:id="1">
    <w:p w14:paraId="015EE7DE" w14:textId="77777777" w:rsidR="004D682B" w:rsidRPr="00C31E72" w:rsidRDefault="004D682B" w:rsidP="004D682B">
      <w:pPr>
        <w:pStyle w:val="FootnoteText"/>
        <w:spacing w:after="240"/>
        <w:rPr>
          <w:rFonts w:ascii="Verdana" w:hAnsi="Verdana"/>
          <w:sz w:val="16"/>
          <w:szCs w:val="16"/>
          <w:lang w:val="en-US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28D89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A4954B6" wp14:editId="6A43B63D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3A13B" w14:textId="77777777" w:rsidR="00444D20" w:rsidRPr="00444D20" w:rsidRDefault="00F54022" w:rsidP="00A17DD0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="00444D20"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59CD2F6F" w14:textId="77777777" w:rsidR="00101DE0" w:rsidRPr="00F54022" w:rsidRDefault="00F54022" w:rsidP="00A17DD0">
                          <w:pPr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БИЗНЕС АНКЕТИ НА НСИ, МАЙ</w:t>
                          </w:r>
                          <w:r w:rsidR="00444D20"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:rsidR="00444D20" w:rsidRPr="00444D20" w:rsidRDefault="00F54022" w:rsidP="00A17DD0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="00444D20"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:rsidR="00101DE0" w:rsidRPr="00F54022" w:rsidRDefault="00F54022" w:rsidP="00A17DD0">
                    <w:pPr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БИЗНЕС АНКЕТИ НА НСИ, МАЙ</w:t>
                    </w:r>
                    <w:r w:rsidR="00444D20"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2B32032" wp14:editId="6CE6F66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DD47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AB9F3F" wp14:editId="5609284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859FC76" wp14:editId="6F371335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EE8B803" wp14:editId="30E82A5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8722B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D60AC9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5AC86D2" wp14:editId="56BD09DE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D3072D9" wp14:editId="36B2C99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6BE5C4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AF4A" w14:textId="77777777" w:rsidR="008748F1" w:rsidRPr="004F064E" w:rsidRDefault="00444D2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1F12F1E" wp14:editId="5CA962E5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7A87F" w14:textId="77777777" w:rsidR="00F54022" w:rsidRPr="004D5297" w:rsidRDefault="00F54022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7237C45C" w14:textId="77777777" w:rsidR="00F54022" w:rsidRPr="00EC63FC" w:rsidRDefault="00F54022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МАЙ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6074EE69" w14:textId="77777777" w:rsidR="008748F1" w:rsidRPr="00101DE0" w:rsidRDefault="008748F1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:rsidR="00F54022" w:rsidRPr="004D5297" w:rsidRDefault="00F54022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:rsidR="00F54022" w:rsidRPr="00EC63FC" w:rsidRDefault="00F54022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МАЙ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:rsidR="008748F1" w:rsidRPr="00101DE0" w:rsidRDefault="008748F1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943D297" wp14:editId="69F2DE2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34628"/>
    <w:rsid w:val="00054255"/>
    <w:rsid w:val="0006051E"/>
    <w:rsid w:val="000607BC"/>
    <w:rsid w:val="00077C97"/>
    <w:rsid w:val="00096A71"/>
    <w:rsid w:val="000B17C2"/>
    <w:rsid w:val="000B2B10"/>
    <w:rsid w:val="000C0D56"/>
    <w:rsid w:val="000D3C6C"/>
    <w:rsid w:val="000D5179"/>
    <w:rsid w:val="000F0B88"/>
    <w:rsid w:val="00101DE0"/>
    <w:rsid w:val="00152534"/>
    <w:rsid w:val="00171C36"/>
    <w:rsid w:val="001901A0"/>
    <w:rsid w:val="0019084D"/>
    <w:rsid w:val="001958CA"/>
    <w:rsid w:val="001A1BF3"/>
    <w:rsid w:val="001B03D8"/>
    <w:rsid w:val="001C168A"/>
    <w:rsid w:val="001E5BA2"/>
    <w:rsid w:val="001E7AC3"/>
    <w:rsid w:val="001F5108"/>
    <w:rsid w:val="00214ACA"/>
    <w:rsid w:val="00255A71"/>
    <w:rsid w:val="0028452A"/>
    <w:rsid w:val="002A7089"/>
    <w:rsid w:val="002C2A22"/>
    <w:rsid w:val="002C3CC8"/>
    <w:rsid w:val="002C72D4"/>
    <w:rsid w:val="003227E6"/>
    <w:rsid w:val="00332C88"/>
    <w:rsid w:val="00336556"/>
    <w:rsid w:val="00364357"/>
    <w:rsid w:val="00377A00"/>
    <w:rsid w:val="0038746A"/>
    <w:rsid w:val="003B158A"/>
    <w:rsid w:val="003B2503"/>
    <w:rsid w:val="003B42F8"/>
    <w:rsid w:val="003B46BA"/>
    <w:rsid w:val="003B783D"/>
    <w:rsid w:val="003C2111"/>
    <w:rsid w:val="003D036F"/>
    <w:rsid w:val="003D1479"/>
    <w:rsid w:val="003D5F6D"/>
    <w:rsid w:val="003E0120"/>
    <w:rsid w:val="003F1857"/>
    <w:rsid w:val="00444D20"/>
    <w:rsid w:val="00446CF4"/>
    <w:rsid w:val="00467F7F"/>
    <w:rsid w:val="004760D3"/>
    <w:rsid w:val="00486232"/>
    <w:rsid w:val="004A0222"/>
    <w:rsid w:val="004A69CC"/>
    <w:rsid w:val="004D2941"/>
    <w:rsid w:val="004D5DD8"/>
    <w:rsid w:val="004D682B"/>
    <w:rsid w:val="004E1224"/>
    <w:rsid w:val="004F064E"/>
    <w:rsid w:val="004F3CED"/>
    <w:rsid w:val="00520539"/>
    <w:rsid w:val="005571D1"/>
    <w:rsid w:val="00574FF0"/>
    <w:rsid w:val="00581D11"/>
    <w:rsid w:val="00593518"/>
    <w:rsid w:val="005B4023"/>
    <w:rsid w:val="005B586C"/>
    <w:rsid w:val="005D6734"/>
    <w:rsid w:val="005F1CB5"/>
    <w:rsid w:val="005F2E79"/>
    <w:rsid w:val="005F7156"/>
    <w:rsid w:val="0060183F"/>
    <w:rsid w:val="006120F5"/>
    <w:rsid w:val="00634CE3"/>
    <w:rsid w:val="00644D53"/>
    <w:rsid w:val="00654814"/>
    <w:rsid w:val="00662AE2"/>
    <w:rsid w:val="00664CFB"/>
    <w:rsid w:val="006868E2"/>
    <w:rsid w:val="006907EE"/>
    <w:rsid w:val="006A212D"/>
    <w:rsid w:val="006C27A4"/>
    <w:rsid w:val="006D1BE4"/>
    <w:rsid w:val="00704539"/>
    <w:rsid w:val="0071704B"/>
    <w:rsid w:val="0073032C"/>
    <w:rsid w:val="00764226"/>
    <w:rsid w:val="007662D4"/>
    <w:rsid w:val="007875F2"/>
    <w:rsid w:val="00790255"/>
    <w:rsid w:val="007C61E0"/>
    <w:rsid w:val="007C646B"/>
    <w:rsid w:val="007C7A6A"/>
    <w:rsid w:val="007D22C5"/>
    <w:rsid w:val="007F116A"/>
    <w:rsid w:val="007F17B3"/>
    <w:rsid w:val="008149E8"/>
    <w:rsid w:val="00870559"/>
    <w:rsid w:val="00873EBF"/>
    <w:rsid w:val="008748F1"/>
    <w:rsid w:val="00875136"/>
    <w:rsid w:val="00881B14"/>
    <w:rsid w:val="00883238"/>
    <w:rsid w:val="00890893"/>
    <w:rsid w:val="008C7919"/>
    <w:rsid w:val="008D2D66"/>
    <w:rsid w:val="008D3797"/>
    <w:rsid w:val="008E71E8"/>
    <w:rsid w:val="009143D3"/>
    <w:rsid w:val="00923EA7"/>
    <w:rsid w:val="00931195"/>
    <w:rsid w:val="0094060D"/>
    <w:rsid w:val="00944F68"/>
    <w:rsid w:val="00947EBF"/>
    <w:rsid w:val="009A5804"/>
    <w:rsid w:val="009B744F"/>
    <w:rsid w:val="009B7B87"/>
    <w:rsid w:val="009E4021"/>
    <w:rsid w:val="009E4941"/>
    <w:rsid w:val="009E5562"/>
    <w:rsid w:val="00A003C2"/>
    <w:rsid w:val="00A14E83"/>
    <w:rsid w:val="00A17DD0"/>
    <w:rsid w:val="00A25221"/>
    <w:rsid w:val="00A7142A"/>
    <w:rsid w:val="00A869E9"/>
    <w:rsid w:val="00A869F7"/>
    <w:rsid w:val="00AC3D78"/>
    <w:rsid w:val="00AE3899"/>
    <w:rsid w:val="00AE4196"/>
    <w:rsid w:val="00AF2D94"/>
    <w:rsid w:val="00B0333E"/>
    <w:rsid w:val="00B07D27"/>
    <w:rsid w:val="00B35DAC"/>
    <w:rsid w:val="00B47258"/>
    <w:rsid w:val="00B55B11"/>
    <w:rsid w:val="00B77149"/>
    <w:rsid w:val="00B951A0"/>
    <w:rsid w:val="00BB47DD"/>
    <w:rsid w:val="00BC2D00"/>
    <w:rsid w:val="00C00EED"/>
    <w:rsid w:val="00C14799"/>
    <w:rsid w:val="00C22E8B"/>
    <w:rsid w:val="00C31E72"/>
    <w:rsid w:val="00C378AF"/>
    <w:rsid w:val="00C616FD"/>
    <w:rsid w:val="00C64FF9"/>
    <w:rsid w:val="00C93495"/>
    <w:rsid w:val="00C93974"/>
    <w:rsid w:val="00CA0766"/>
    <w:rsid w:val="00CA6A0F"/>
    <w:rsid w:val="00CB3853"/>
    <w:rsid w:val="00CB3E49"/>
    <w:rsid w:val="00D32DFB"/>
    <w:rsid w:val="00D7527D"/>
    <w:rsid w:val="00D82477"/>
    <w:rsid w:val="00D85B1D"/>
    <w:rsid w:val="00D8670F"/>
    <w:rsid w:val="00DA68E0"/>
    <w:rsid w:val="00DD11CB"/>
    <w:rsid w:val="00DE20CA"/>
    <w:rsid w:val="00DE4F56"/>
    <w:rsid w:val="00DF00F9"/>
    <w:rsid w:val="00E13DB4"/>
    <w:rsid w:val="00E16196"/>
    <w:rsid w:val="00E46036"/>
    <w:rsid w:val="00E476B1"/>
    <w:rsid w:val="00E54A86"/>
    <w:rsid w:val="00E54D99"/>
    <w:rsid w:val="00E56080"/>
    <w:rsid w:val="00E563C3"/>
    <w:rsid w:val="00E67823"/>
    <w:rsid w:val="00E74077"/>
    <w:rsid w:val="00EB5089"/>
    <w:rsid w:val="00EE6BAB"/>
    <w:rsid w:val="00EF3501"/>
    <w:rsid w:val="00F14EE8"/>
    <w:rsid w:val="00F54022"/>
    <w:rsid w:val="00FA00EF"/>
    <w:rsid w:val="00FD731D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FB2B2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3E0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2338-C2CC-4224-9DF5-4ED046CE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29</cp:revision>
  <dcterms:created xsi:type="dcterms:W3CDTF">2024-05-27T07:34:00Z</dcterms:created>
  <dcterms:modified xsi:type="dcterms:W3CDTF">2024-05-28T12:33:00Z</dcterms:modified>
</cp:coreProperties>
</file>