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0D" w:rsidRDefault="001F320D" w:rsidP="001D5DEC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B7CBB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СРЕДНА ПРОДЪЛЖИТЕЛНОСТ НА ПРЕДСТОЯЩИЯ ЖИВОТ НА НАСЕЛЕНИЕТО ПРЕЗ ПЕРИОДА 2021 - 2023 ГОДИНА</w:t>
      </w:r>
    </w:p>
    <w:p w:rsidR="001F320D" w:rsidRPr="00EB7CBB" w:rsidRDefault="001F320D" w:rsidP="00932CA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23897">
        <w:rPr>
          <w:rFonts w:ascii="Verdana" w:eastAsia="Calibri" w:hAnsi="Verdana" w:cs="Times New Roman"/>
          <w:b/>
          <w:sz w:val="20"/>
          <w:szCs w:val="20"/>
        </w:rPr>
        <w:t>Очакваната средна продължителност на</w:t>
      </w:r>
      <w:bookmarkStart w:id="0" w:name="_GoBack"/>
      <w:bookmarkEnd w:id="0"/>
      <w:r w:rsidRPr="00C23897">
        <w:rPr>
          <w:rFonts w:ascii="Verdana" w:eastAsia="Calibri" w:hAnsi="Verdana" w:cs="Times New Roman"/>
          <w:b/>
          <w:sz w:val="20"/>
          <w:szCs w:val="20"/>
        </w:rPr>
        <w:t xml:space="preserve"> предстоящия живот</w:t>
      </w:r>
      <w:r w:rsidRPr="00C23897">
        <w:rPr>
          <w:rFonts w:ascii="Verdana" w:eastAsia="Calibri" w:hAnsi="Verdana" w:cs="Times New Roman"/>
          <w:b/>
          <w:sz w:val="20"/>
          <w:szCs w:val="20"/>
          <w:vertAlign w:val="superscript"/>
        </w:rPr>
        <w:footnoteReference w:id="1"/>
      </w:r>
      <w:r w:rsidRPr="00C23897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EB7CBB">
        <w:rPr>
          <w:rFonts w:ascii="Verdana" w:eastAsia="Μοντέρνα" w:hAnsi="Verdana" w:cs="Times New Roman"/>
          <w:sz w:val="20"/>
          <w:szCs w:val="20"/>
          <w:lang w:eastAsia="bg-BG"/>
        </w:rPr>
        <w:t>общо за населението на страната, изчислена за периода 2021 - 2023 г., е 73.5 години, като спрямо предходния период (2020 - 2022 г.) се увеличава с 1.6 години.</w:t>
      </w:r>
    </w:p>
    <w:p w:rsidR="001F320D" w:rsidRPr="00EB7CBB" w:rsidRDefault="001F320D" w:rsidP="00932CA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B7CBB">
        <w:rPr>
          <w:rFonts w:ascii="Verdana" w:eastAsia="Μοντέρνα" w:hAnsi="Verdana" w:cs="Times New Roman"/>
          <w:sz w:val="20"/>
          <w:szCs w:val="20"/>
          <w:lang w:eastAsia="bg-BG"/>
        </w:rPr>
        <w:t>Различната смъртност при мъжете и жените, както и сред населението в градовете и селата, определя и различната средна продължителност на живота при тези категории население.</w:t>
      </w:r>
    </w:p>
    <w:p w:rsidR="001F320D" w:rsidRPr="00EB7CBB" w:rsidRDefault="001F320D" w:rsidP="00932CA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B7CB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Средната продължителност на живота при мъжете е 69.9 години, докато при жените е със 7.4 години по-висока - 77.3 години. </w:t>
      </w:r>
    </w:p>
    <w:p w:rsidR="001F320D" w:rsidRPr="00EB7CBB" w:rsidRDefault="00E06C73" w:rsidP="00932CA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 сравнение с</w:t>
      </w:r>
      <w:r w:rsidR="001F320D" w:rsidRPr="00EB7CB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2013 през 2023 г. наблюдаваме намаление на средната продължителност </w:t>
      </w:r>
      <w:r w:rsidRPr="00EB7CB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мъжете </w:t>
      </w:r>
      <w:r w:rsidR="001F320D" w:rsidRPr="00EB7CB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1.1 години, </w:t>
      </w:r>
      <w:r w:rsidR="00815EE5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1F320D" w:rsidRPr="00EB7CB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 жените с 0.7 години.</w:t>
      </w:r>
    </w:p>
    <w:p w:rsidR="001F320D" w:rsidRPr="005146DC" w:rsidRDefault="001F320D" w:rsidP="00AA2523">
      <w:pPr>
        <w:tabs>
          <w:tab w:val="left" w:pos="3123"/>
        </w:tabs>
        <w:spacing w:before="160" w:after="160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146D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Очаквана средна продължителност на предстоящия живот по пол и периоди</w:t>
      </w:r>
    </w:p>
    <w:p w:rsidR="001F320D" w:rsidRDefault="001F320D" w:rsidP="001F320D">
      <w:pPr>
        <w:tabs>
          <w:tab w:val="left" w:pos="3123"/>
        </w:tabs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3B72C81" wp14:editId="45331965">
            <wp:extent cx="5200650" cy="3581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104E" w:rsidRPr="00C23897" w:rsidRDefault="0027104E" w:rsidP="00CD599B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Calibri" w:hAnsi="Verdana"/>
          <w:sz w:val="20"/>
          <w:szCs w:val="20"/>
        </w:rPr>
      </w:pPr>
      <w:r w:rsidRPr="00C23897">
        <w:rPr>
          <w:rFonts w:ascii="Verdana" w:eastAsia="Calibri" w:hAnsi="Verdana"/>
          <w:sz w:val="20"/>
          <w:szCs w:val="20"/>
        </w:rPr>
        <w:lastRenderedPageBreak/>
        <w:t xml:space="preserve">Средната продължителност на живота на населението в градовете е с </w:t>
      </w:r>
      <w:r w:rsidRPr="00C23897">
        <w:rPr>
          <w:rFonts w:ascii="Verdana" w:eastAsia="Calibri" w:hAnsi="Verdana"/>
          <w:sz w:val="20"/>
          <w:szCs w:val="20"/>
          <w:lang w:val="en-US"/>
        </w:rPr>
        <w:t>3</w:t>
      </w:r>
      <w:r w:rsidRPr="00C23897">
        <w:rPr>
          <w:rFonts w:ascii="Verdana" w:eastAsia="Calibri" w:hAnsi="Verdana"/>
          <w:sz w:val="20"/>
          <w:szCs w:val="20"/>
        </w:rPr>
        <w:t>.</w:t>
      </w:r>
      <w:r w:rsidRPr="00C23897">
        <w:rPr>
          <w:rFonts w:ascii="Verdana" w:eastAsia="Calibri" w:hAnsi="Verdana"/>
          <w:sz w:val="20"/>
          <w:szCs w:val="20"/>
          <w:lang w:val="en-US"/>
        </w:rPr>
        <w:t>1</w:t>
      </w:r>
      <w:r w:rsidRPr="00C23897">
        <w:rPr>
          <w:rFonts w:ascii="Verdana" w:eastAsia="Calibri" w:hAnsi="Verdana"/>
          <w:sz w:val="20"/>
          <w:szCs w:val="20"/>
        </w:rPr>
        <w:t xml:space="preserve"> години по-висока (7</w:t>
      </w:r>
      <w:r w:rsidRPr="00C23897">
        <w:rPr>
          <w:rFonts w:ascii="Verdana" w:eastAsia="Calibri" w:hAnsi="Verdana"/>
          <w:sz w:val="20"/>
          <w:szCs w:val="20"/>
          <w:lang w:val="en-US"/>
        </w:rPr>
        <w:t>4</w:t>
      </w:r>
      <w:r w:rsidRPr="00C23897">
        <w:rPr>
          <w:rFonts w:ascii="Verdana" w:eastAsia="Calibri" w:hAnsi="Verdana"/>
          <w:sz w:val="20"/>
          <w:szCs w:val="20"/>
        </w:rPr>
        <w:t>.</w:t>
      </w:r>
      <w:r w:rsidRPr="00C23897">
        <w:rPr>
          <w:rFonts w:ascii="Verdana" w:eastAsia="Calibri" w:hAnsi="Verdana"/>
          <w:sz w:val="20"/>
          <w:szCs w:val="20"/>
          <w:lang w:val="en-US"/>
        </w:rPr>
        <w:t>4</w:t>
      </w:r>
      <w:r w:rsidRPr="00C23897">
        <w:rPr>
          <w:rFonts w:ascii="Verdana" w:eastAsia="Calibri" w:hAnsi="Verdana"/>
          <w:sz w:val="20"/>
          <w:szCs w:val="20"/>
        </w:rPr>
        <w:t xml:space="preserve"> години) отколкото на населението в селата (</w:t>
      </w:r>
      <w:r w:rsidRPr="00C23897">
        <w:rPr>
          <w:rFonts w:ascii="Verdana" w:eastAsia="Calibri" w:hAnsi="Verdana"/>
          <w:sz w:val="20"/>
          <w:szCs w:val="20"/>
          <w:lang w:val="en-US"/>
        </w:rPr>
        <w:t>71</w:t>
      </w:r>
      <w:r w:rsidRPr="00C23897">
        <w:rPr>
          <w:rFonts w:ascii="Verdana" w:eastAsia="Calibri" w:hAnsi="Verdana"/>
          <w:sz w:val="20"/>
          <w:szCs w:val="20"/>
        </w:rPr>
        <w:t>.</w:t>
      </w:r>
      <w:r w:rsidRPr="00C23897">
        <w:rPr>
          <w:rFonts w:ascii="Verdana" w:eastAsia="Calibri" w:hAnsi="Verdana"/>
          <w:sz w:val="20"/>
          <w:szCs w:val="20"/>
          <w:lang w:val="en-US"/>
        </w:rPr>
        <w:t>3</w:t>
      </w:r>
      <w:r w:rsidRPr="00C23897">
        <w:rPr>
          <w:rFonts w:ascii="Verdana" w:eastAsia="Calibri" w:hAnsi="Verdana"/>
          <w:sz w:val="20"/>
          <w:szCs w:val="20"/>
        </w:rPr>
        <w:t xml:space="preserve"> години).</w:t>
      </w:r>
    </w:p>
    <w:p w:rsidR="0027104E" w:rsidRPr="00C23897" w:rsidRDefault="0027104E" w:rsidP="0027104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Calibri" w:hAnsi="Verdana"/>
          <w:sz w:val="20"/>
          <w:szCs w:val="20"/>
        </w:rPr>
      </w:pPr>
      <w:r w:rsidRPr="00C23897">
        <w:rPr>
          <w:rFonts w:ascii="Verdana" w:eastAsia="Calibri" w:hAnsi="Verdana"/>
          <w:sz w:val="20"/>
          <w:szCs w:val="20"/>
        </w:rPr>
        <w:t>Спрямо 20</w:t>
      </w:r>
      <w:r w:rsidRPr="00C23897">
        <w:rPr>
          <w:rFonts w:ascii="Verdana" w:eastAsia="Calibri" w:hAnsi="Verdana"/>
          <w:sz w:val="20"/>
          <w:szCs w:val="20"/>
          <w:lang w:val="en-US"/>
        </w:rPr>
        <w:t>13</w:t>
      </w:r>
      <w:r w:rsidRPr="00C23897">
        <w:rPr>
          <w:rFonts w:ascii="Verdana" w:eastAsia="Calibri" w:hAnsi="Verdana"/>
          <w:sz w:val="20"/>
          <w:szCs w:val="20"/>
        </w:rPr>
        <w:t xml:space="preserve"> г. за населението в градовете </w:t>
      </w:r>
      <w:r w:rsidR="00E875EF">
        <w:rPr>
          <w:rFonts w:ascii="Verdana" w:eastAsia="Calibri" w:hAnsi="Verdana"/>
          <w:sz w:val="20"/>
          <w:szCs w:val="20"/>
        </w:rPr>
        <w:t xml:space="preserve">тя </w:t>
      </w:r>
      <w:r w:rsidRPr="00C23897">
        <w:rPr>
          <w:rFonts w:ascii="Verdana" w:eastAsia="Calibri" w:hAnsi="Verdana"/>
          <w:sz w:val="20"/>
          <w:szCs w:val="20"/>
        </w:rPr>
        <w:t xml:space="preserve">е намаляла с </w:t>
      </w:r>
      <w:r w:rsidRPr="00C23897">
        <w:rPr>
          <w:rFonts w:ascii="Verdana" w:eastAsia="Calibri" w:hAnsi="Verdana"/>
          <w:sz w:val="20"/>
          <w:szCs w:val="20"/>
          <w:lang w:val="en-US"/>
        </w:rPr>
        <w:t xml:space="preserve">0.9 </w:t>
      </w:r>
      <w:r w:rsidRPr="00C23897">
        <w:rPr>
          <w:rFonts w:ascii="Verdana" w:eastAsia="Calibri" w:hAnsi="Verdana"/>
          <w:sz w:val="20"/>
          <w:szCs w:val="20"/>
        </w:rPr>
        <w:t xml:space="preserve">години, а за населението в селата - с </w:t>
      </w:r>
      <w:r w:rsidRPr="00C23897">
        <w:rPr>
          <w:rFonts w:ascii="Verdana" w:eastAsia="Calibri" w:hAnsi="Verdana"/>
          <w:sz w:val="20"/>
          <w:szCs w:val="20"/>
          <w:lang w:val="en-US"/>
        </w:rPr>
        <w:t>1.3</w:t>
      </w:r>
      <w:r w:rsidRPr="00C23897">
        <w:rPr>
          <w:rFonts w:ascii="Verdana" w:eastAsia="Calibri" w:hAnsi="Verdana"/>
          <w:sz w:val="20"/>
          <w:szCs w:val="20"/>
        </w:rPr>
        <w:t xml:space="preserve"> години.</w:t>
      </w:r>
    </w:p>
    <w:p w:rsidR="0027104E" w:rsidRPr="00AB6169" w:rsidRDefault="00F75C62" w:rsidP="00635D01">
      <w:pPr>
        <w:tabs>
          <w:tab w:val="left" w:pos="7050"/>
        </w:tabs>
        <w:spacing w:before="160" w:after="160"/>
        <w:ind w:left="357"/>
        <w:jc w:val="center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 xml:space="preserve">Таблица 1. </w:t>
      </w:r>
      <w:r w:rsidR="0027104E" w:rsidRPr="00AB6169">
        <w:rPr>
          <w:rFonts w:ascii="Verdana" w:eastAsia="Calibri" w:hAnsi="Verdana"/>
          <w:b/>
          <w:noProof/>
          <w:sz w:val="20"/>
          <w:szCs w:val="20"/>
        </w:rPr>
        <w:t>Очаквана средна продължителност на предстоящия</w:t>
      </w:r>
      <w:r w:rsidR="0027104E" w:rsidRPr="00AB6169">
        <w:rPr>
          <w:rFonts w:ascii="Verdana" w:eastAsia="Calibri" w:hAnsi="Verdana"/>
          <w:b/>
          <w:noProof/>
          <w:sz w:val="20"/>
          <w:szCs w:val="20"/>
        </w:rPr>
        <w:br/>
        <w:t>живот по местоживеене</w:t>
      </w:r>
    </w:p>
    <w:tbl>
      <w:tblPr>
        <w:tblW w:w="6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415"/>
        <w:gridCol w:w="1547"/>
        <w:gridCol w:w="1282"/>
      </w:tblGrid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Периоди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В градовете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В селата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2011 - 2013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74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75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.3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72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2012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-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74.7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75.5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72.8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2013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-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74.5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75.3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72.6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2014 - 2016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74.7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75.5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72.6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2015 - 2017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74.8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75.6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72.8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6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- 201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8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74.8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75.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7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72.8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2017 - 2019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74.9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75.8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72.8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2018 - 2020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4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75.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72.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2019 - 2021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73.6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74.3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71.9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20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0 - 202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71.9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72.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69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8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20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21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 xml:space="preserve"> - 202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3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7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4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71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3</w:t>
            </w:r>
          </w:p>
        </w:tc>
      </w:tr>
    </w:tbl>
    <w:p w:rsidR="0027104E" w:rsidRPr="00C23897" w:rsidRDefault="0027104E" w:rsidP="00CD599B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Calibri" w:hAnsi="Verdana"/>
          <w:noProof/>
          <w:sz w:val="20"/>
          <w:szCs w:val="20"/>
        </w:rPr>
      </w:pPr>
      <w:r w:rsidRPr="00C23897">
        <w:rPr>
          <w:rFonts w:ascii="Verdana" w:eastAsia="Calibri" w:hAnsi="Verdana"/>
          <w:noProof/>
          <w:sz w:val="20"/>
          <w:szCs w:val="20"/>
        </w:rPr>
        <w:t>Очакваната продължителност на живота за навърш</w:t>
      </w:r>
      <w:r w:rsidR="00FD04B1">
        <w:rPr>
          <w:rFonts w:ascii="Verdana" w:eastAsia="Calibri" w:hAnsi="Verdana"/>
          <w:noProof/>
          <w:sz w:val="20"/>
          <w:szCs w:val="20"/>
        </w:rPr>
        <w:t>илите</w:t>
      </w:r>
      <w:r w:rsidRPr="00C23897">
        <w:rPr>
          <w:rFonts w:ascii="Verdana" w:eastAsia="Calibri" w:hAnsi="Verdana"/>
          <w:noProof/>
          <w:sz w:val="20"/>
          <w:szCs w:val="20"/>
        </w:rPr>
        <w:t xml:space="preserve"> 65 години е 1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5</w:t>
      </w:r>
      <w:r w:rsidRPr="00C23897">
        <w:rPr>
          <w:rFonts w:ascii="Verdana" w:eastAsia="Calibri" w:hAnsi="Verdana"/>
          <w:noProof/>
          <w:sz w:val="20"/>
          <w:szCs w:val="20"/>
        </w:rPr>
        <w:t>.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2</w:t>
      </w:r>
      <w:r w:rsidRPr="00C23897">
        <w:rPr>
          <w:rFonts w:ascii="Verdana" w:eastAsia="Calibri" w:hAnsi="Verdana"/>
          <w:noProof/>
          <w:sz w:val="20"/>
          <w:szCs w:val="20"/>
        </w:rPr>
        <w:t xml:space="preserve"> години, като за мъжете и жените тя е съответно 1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3</w:t>
      </w:r>
      <w:r w:rsidRPr="00C23897">
        <w:rPr>
          <w:rFonts w:ascii="Verdana" w:eastAsia="Calibri" w:hAnsi="Verdana"/>
          <w:noProof/>
          <w:sz w:val="20"/>
          <w:szCs w:val="20"/>
        </w:rPr>
        <w:t>.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0</w:t>
      </w:r>
      <w:r w:rsidRPr="00C23897">
        <w:rPr>
          <w:rFonts w:ascii="Verdana" w:eastAsia="Calibri" w:hAnsi="Verdana"/>
          <w:noProof/>
          <w:sz w:val="20"/>
          <w:szCs w:val="20"/>
        </w:rPr>
        <w:t xml:space="preserve"> и 1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7</w:t>
      </w:r>
      <w:r w:rsidRPr="00C23897">
        <w:rPr>
          <w:rFonts w:ascii="Verdana" w:eastAsia="Calibri" w:hAnsi="Verdana"/>
          <w:noProof/>
          <w:sz w:val="20"/>
          <w:szCs w:val="20"/>
        </w:rPr>
        <w:t>.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1</w:t>
      </w:r>
      <w:r w:rsidRPr="00C23897">
        <w:rPr>
          <w:rFonts w:ascii="Verdana" w:eastAsia="Calibri" w:hAnsi="Verdana"/>
          <w:noProof/>
          <w:sz w:val="20"/>
          <w:szCs w:val="20"/>
        </w:rPr>
        <w:t xml:space="preserve"> години. В сравнение с</w:t>
      </w:r>
      <w:r w:rsidRPr="00C23897">
        <w:rPr>
          <w:rFonts w:ascii="Verdana" w:eastAsia="Calibri" w:hAnsi="Verdana"/>
          <w:noProof/>
          <w:color w:val="FF0000"/>
          <w:sz w:val="20"/>
          <w:szCs w:val="20"/>
        </w:rPr>
        <w:t xml:space="preserve"> </w:t>
      </w:r>
      <w:r w:rsidRPr="00C23897">
        <w:rPr>
          <w:rFonts w:ascii="Verdana" w:eastAsia="Calibri" w:hAnsi="Verdana"/>
          <w:noProof/>
          <w:sz w:val="20"/>
          <w:szCs w:val="20"/>
        </w:rPr>
        <w:t>20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13</w:t>
      </w:r>
      <w:r w:rsidRPr="00C23897">
        <w:rPr>
          <w:rFonts w:ascii="Verdana" w:eastAsia="Calibri" w:hAnsi="Verdana"/>
          <w:noProof/>
          <w:sz w:val="20"/>
          <w:szCs w:val="20"/>
        </w:rPr>
        <w:t xml:space="preserve"> г. през 20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23</w:t>
      </w:r>
      <w:r w:rsidRPr="00C23897">
        <w:rPr>
          <w:rFonts w:ascii="Verdana" w:eastAsia="Calibri" w:hAnsi="Verdana"/>
          <w:noProof/>
          <w:sz w:val="20"/>
          <w:szCs w:val="20"/>
        </w:rPr>
        <w:t xml:space="preserve"> г.</w:t>
      </w:r>
      <w:r w:rsidRPr="00C23897">
        <w:rPr>
          <w:rFonts w:ascii="Verdana" w:eastAsia="Calibri" w:hAnsi="Verdana"/>
          <w:noProof/>
          <w:color w:val="FF0000"/>
          <w:sz w:val="20"/>
          <w:szCs w:val="20"/>
        </w:rPr>
        <w:t xml:space="preserve"> </w:t>
      </w:r>
      <w:r w:rsidRPr="00C23897">
        <w:rPr>
          <w:rFonts w:ascii="Verdana" w:eastAsia="Calibri" w:hAnsi="Verdana"/>
          <w:noProof/>
          <w:sz w:val="20"/>
          <w:szCs w:val="20"/>
        </w:rPr>
        <w:t xml:space="preserve">очакваната продължителност на живота на лицата, навършили 65 години, намалява с 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0</w:t>
      </w:r>
      <w:r w:rsidRPr="00C23897">
        <w:rPr>
          <w:rFonts w:ascii="Verdana" w:eastAsia="Calibri" w:hAnsi="Verdana"/>
          <w:noProof/>
          <w:sz w:val="20"/>
          <w:szCs w:val="20"/>
        </w:rPr>
        <w:t>.</w:t>
      </w:r>
      <w:r w:rsidRPr="00C23897">
        <w:rPr>
          <w:rFonts w:ascii="Verdana" w:eastAsia="Calibri" w:hAnsi="Verdana"/>
          <w:noProof/>
          <w:sz w:val="20"/>
          <w:szCs w:val="20"/>
          <w:lang w:val="en-US"/>
        </w:rPr>
        <w:t>6</w:t>
      </w:r>
      <w:r w:rsidRPr="00C23897">
        <w:rPr>
          <w:rFonts w:ascii="Verdana" w:eastAsia="Calibri" w:hAnsi="Verdana"/>
          <w:noProof/>
          <w:sz w:val="20"/>
          <w:szCs w:val="20"/>
        </w:rPr>
        <w:t xml:space="preserve"> години.</w:t>
      </w:r>
    </w:p>
    <w:p w:rsidR="0027104E" w:rsidRDefault="00F75C62" w:rsidP="000D441F">
      <w:pPr>
        <w:autoSpaceDE w:val="0"/>
        <w:autoSpaceDN w:val="0"/>
        <w:adjustRightInd w:val="0"/>
        <w:spacing w:before="160" w:after="160"/>
        <w:jc w:val="center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 xml:space="preserve">Таблица </w:t>
      </w:r>
      <w:r w:rsidR="0027104E" w:rsidRPr="005146DC">
        <w:rPr>
          <w:rFonts w:ascii="Verdana" w:eastAsia="Calibri" w:hAnsi="Verdana"/>
          <w:b/>
          <w:noProof/>
          <w:sz w:val="20"/>
          <w:szCs w:val="20"/>
        </w:rPr>
        <w:t>2. Очаквана</w:t>
      </w:r>
      <w:r w:rsidR="0027104E" w:rsidRPr="005146DC">
        <w:rPr>
          <w:rFonts w:ascii="Verdana" w:eastAsia="Calibri" w:hAnsi="Verdana"/>
          <w:b/>
          <w:sz w:val="20"/>
          <w:szCs w:val="20"/>
        </w:rPr>
        <w:t xml:space="preserve"> средна продължителност на живота на лицата,</w:t>
      </w:r>
      <w:r w:rsidR="00F00E7B">
        <w:rPr>
          <w:rFonts w:ascii="Verdana" w:eastAsia="Calibri" w:hAnsi="Verdana"/>
          <w:b/>
          <w:sz w:val="20"/>
          <w:szCs w:val="20"/>
        </w:rPr>
        <w:t xml:space="preserve"> </w:t>
      </w:r>
      <w:r w:rsidR="0027104E" w:rsidRPr="005146DC">
        <w:rPr>
          <w:rFonts w:ascii="Verdana" w:eastAsia="Calibri" w:hAnsi="Verdana"/>
          <w:b/>
          <w:sz w:val="20"/>
          <w:szCs w:val="20"/>
        </w:rPr>
        <w:t>навършили 65 години, по пол</w:t>
      </w:r>
    </w:p>
    <w:tbl>
      <w:tblPr>
        <w:tblW w:w="6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417"/>
        <w:gridCol w:w="1464"/>
        <w:gridCol w:w="1371"/>
      </w:tblGrid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Периоди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Мъже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Жени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2011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-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15.8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14.0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17.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2012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-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16.1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14.2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17.6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2013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-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16.0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14.1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17.5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>2014 - 2016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16.0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14.1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17.6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2015 - 2017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16.1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14.1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17.7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>6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 xml:space="preserve"> - 201</w:t>
            </w: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16.1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14.1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17.8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2017 - 2019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16.2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14.1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17.9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2018 - 2020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5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8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3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7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.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5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2019 - 2021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15.2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13.0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17.1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2020 - 2022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14.2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12.0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16.1</w:t>
            </w:r>
          </w:p>
        </w:tc>
      </w:tr>
      <w:tr w:rsidR="0027104E" w:rsidRPr="00C23897" w:rsidTr="003D4053">
        <w:trPr>
          <w:trHeight w:val="284"/>
          <w:jc w:val="center"/>
        </w:trPr>
        <w:tc>
          <w:tcPr>
            <w:tcW w:w="1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 w:rsidRPr="00C23897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2021 - 2023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5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.2</w:t>
            </w:r>
          </w:p>
        </w:tc>
        <w:tc>
          <w:tcPr>
            <w:tcW w:w="14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3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.0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104E" w:rsidRPr="00C23897" w:rsidRDefault="0027104E" w:rsidP="003D405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C23897">
              <w:rPr>
                <w:rFonts w:ascii="Verdana" w:eastAsia="Times New Roman" w:hAnsi="Verdana"/>
                <w:sz w:val="20"/>
                <w:szCs w:val="20"/>
              </w:rPr>
              <w:t>1</w:t>
            </w:r>
            <w:r w:rsidRPr="00C23897">
              <w:rPr>
                <w:rFonts w:ascii="Verdana" w:eastAsia="Times New Roman" w:hAnsi="Verdana"/>
                <w:sz w:val="20"/>
                <w:szCs w:val="20"/>
                <w:lang w:val="en-US"/>
              </w:rPr>
              <w:t>7</w:t>
            </w:r>
            <w:r w:rsidRPr="00C23897">
              <w:rPr>
                <w:rFonts w:ascii="Verdana" w:eastAsia="Times New Roman" w:hAnsi="Verdana"/>
                <w:sz w:val="20"/>
                <w:szCs w:val="20"/>
              </w:rPr>
              <w:t>.1</w:t>
            </w:r>
          </w:p>
        </w:tc>
      </w:tr>
    </w:tbl>
    <w:p w:rsidR="001F320D" w:rsidRDefault="001F320D" w:rsidP="001F320D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7104E" w:rsidRPr="00C23897" w:rsidRDefault="0027104E" w:rsidP="00CD599B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Calibri" w:hAnsi="Verdana"/>
          <w:sz w:val="20"/>
          <w:szCs w:val="20"/>
        </w:rPr>
      </w:pPr>
      <w:r w:rsidRPr="00C23897">
        <w:rPr>
          <w:rFonts w:ascii="Verdana" w:eastAsia="Calibri" w:hAnsi="Verdana"/>
          <w:sz w:val="20"/>
          <w:szCs w:val="20"/>
        </w:rPr>
        <w:lastRenderedPageBreak/>
        <w:t>Очакваната продължителност на живота варира от</w:t>
      </w:r>
      <w:r w:rsidRPr="00C23897">
        <w:rPr>
          <w:rFonts w:ascii="Verdana" w:eastAsia="Calibri" w:hAnsi="Verdana"/>
          <w:color w:val="FF0000"/>
          <w:sz w:val="20"/>
          <w:szCs w:val="20"/>
        </w:rPr>
        <w:t xml:space="preserve"> </w:t>
      </w:r>
      <w:r w:rsidRPr="00C23897">
        <w:rPr>
          <w:rFonts w:ascii="Verdana" w:eastAsia="Calibri" w:hAnsi="Verdana"/>
          <w:sz w:val="20"/>
          <w:szCs w:val="20"/>
          <w:lang w:val="en-US"/>
        </w:rPr>
        <w:t>70</w:t>
      </w:r>
      <w:r w:rsidRPr="00C23897">
        <w:rPr>
          <w:rFonts w:ascii="Verdana" w:eastAsia="Calibri" w:hAnsi="Verdana"/>
          <w:sz w:val="20"/>
          <w:szCs w:val="20"/>
        </w:rPr>
        <w:t>.</w:t>
      </w:r>
      <w:r w:rsidRPr="00C23897">
        <w:rPr>
          <w:rFonts w:ascii="Verdana" w:eastAsia="Calibri" w:hAnsi="Verdana"/>
          <w:sz w:val="20"/>
          <w:szCs w:val="20"/>
          <w:lang w:val="en-US"/>
        </w:rPr>
        <w:t>3</w:t>
      </w:r>
      <w:r w:rsidRPr="00C23897">
        <w:rPr>
          <w:rFonts w:ascii="Verdana" w:eastAsia="Calibri" w:hAnsi="Verdana"/>
          <w:sz w:val="20"/>
          <w:szCs w:val="20"/>
        </w:rPr>
        <w:t xml:space="preserve"> години в област</w:t>
      </w:r>
      <w:r w:rsidRPr="00C23897">
        <w:rPr>
          <w:rFonts w:ascii="Verdana" w:eastAsia="Calibri" w:hAnsi="Verdana"/>
          <w:sz w:val="20"/>
          <w:szCs w:val="20"/>
          <w:lang w:val="en-US"/>
        </w:rPr>
        <w:t xml:space="preserve"> </w:t>
      </w:r>
      <w:r w:rsidRPr="00C23897">
        <w:rPr>
          <w:rFonts w:ascii="Verdana" w:eastAsia="Calibri" w:hAnsi="Verdana"/>
          <w:sz w:val="20"/>
          <w:szCs w:val="20"/>
        </w:rPr>
        <w:t>Видин до 7</w:t>
      </w:r>
      <w:r w:rsidRPr="00C23897">
        <w:rPr>
          <w:rFonts w:ascii="Verdana" w:eastAsia="Calibri" w:hAnsi="Verdana"/>
          <w:sz w:val="20"/>
          <w:szCs w:val="20"/>
          <w:lang w:val="en-US"/>
        </w:rPr>
        <w:t>5</w:t>
      </w:r>
      <w:r w:rsidRPr="00C23897">
        <w:rPr>
          <w:rFonts w:ascii="Verdana" w:eastAsia="Calibri" w:hAnsi="Verdana"/>
          <w:sz w:val="20"/>
          <w:szCs w:val="20"/>
        </w:rPr>
        <w:t>.</w:t>
      </w:r>
      <w:r w:rsidRPr="00C23897">
        <w:rPr>
          <w:rFonts w:ascii="Verdana" w:eastAsia="Calibri" w:hAnsi="Verdana"/>
          <w:sz w:val="20"/>
          <w:szCs w:val="20"/>
          <w:lang w:val="en-US"/>
        </w:rPr>
        <w:t>4</w:t>
      </w:r>
      <w:r w:rsidRPr="00C23897">
        <w:rPr>
          <w:rFonts w:ascii="Verdana" w:eastAsia="Calibri" w:hAnsi="Verdana"/>
          <w:sz w:val="20"/>
          <w:szCs w:val="20"/>
        </w:rPr>
        <w:t xml:space="preserve"> години в областите София (столица) и Кърджали. Жените живеят по-дълго от мъжете във всички области на страната, но най-голяма е разликата между двата пола в област Враца (8.5 години), а най-малка - в област Шумен (6.3 години).</w:t>
      </w:r>
    </w:p>
    <w:p w:rsidR="006C1B03" w:rsidRDefault="006C1B03" w:rsidP="000D441F">
      <w:pPr>
        <w:autoSpaceDE w:val="0"/>
        <w:autoSpaceDN w:val="0"/>
        <w:adjustRightInd w:val="0"/>
        <w:spacing w:before="160" w:after="160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6C1B03">
        <w:rPr>
          <w:rFonts w:ascii="Verdana" w:eastAsia="Calibri" w:hAnsi="Verdana" w:cs="Times New Roman"/>
          <w:b/>
          <w:sz w:val="20"/>
          <w:szCs w:val="20"/>
        </w:rPr>
        <w:t xml:space="preserve">Фиг. 2. </w:t>
      </w:r>
      <w:r w:rsidRPr="006C1B03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w:t>Очаквана</w:t>
      </w:r>
      <w:r w:rsidRPr="006C1B03">
        <w:rPr>
          <w:rFonts w:ascii="Verdana" w:eastAsia="Calibri" w:hAnsi="Verdana" w:cs="Times New Roman"/>
          <w:b/>
          <w:sz w:val="20"/>
          <w:szCs w:val="20"/>
        </w:rPr>
        <w:t xml:space="preserve"> средна продължителност на предстоящия живот</w:t>
      </w:r>
      <w:r w:rsidR="00401A8B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6C1B03">
        <w:rPr>
          <w:rFonts w:ascii="Verdana" w:eastAsia="Calibri" w:hAnsi="Verdana" w:cs="Times New Roman"/>
          <w:b/>
          <w:sz w:val="20"/>
          <w:szCs w:val="20"/>
        </w:rPr>
        <w:t>по области</w:t>
      </w:r>
    </w:p>
    <w:p w:rsidR="006C1B03" w:rsidRPr="006C1B03" w:rsidRDefault="00972E4B" w:rsidP="00972E4B">
      <w:pPr>
        <w:autoSpaceDE w:val="0"/>
        <w:autoSpaceDN w:val="0"/>
        <w:adjustRightInd w:val="0"/>
        <w:rPr>
          <w:rFonts w:eastAsia="Calibri" w:cs="Times New Roman"/>
          <w:b/>
        </w:rPr>
      </w:pPr>
      <w:r w:rsidRPr="00972E4B">
        <w:rPr>
          <w:rFonts w:eastAsia="Calibri" w:cs="Times New Roman"/>
          <w:b/>
          <w:noProof/>
          <w:lang w:eastAsia="bg-BG"/>
        </w:rPr>
        <w:drawing>
          <wp:inline distT="0" distB="0" distL="0" distR="0">
            <wp:extent cx="5760085" cy="4047135"/>
            <wp:effectExtent l="0" t="0" r="0" b="0"/>
            <wp:docPr id="15" name="Picture 15" descr="D:\Det-Tsm\PRESS\press2023\Karti\Средна_продължителност_предстоящия_живот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t-Tsm\PRESS\press2023\Karti\Средна_продължителност_предстоящия_живот_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8F" w:rsidRDefault="0037248F" w:rsidP="001F320D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27104E" w:rsidRPr="00B40B91" w:rsidRDefault="0027104E" w:rsidP="00AB6169">
      <w:pPr>
        <w:spacing w:before="160" w:after="160"/>
        <w:ind w:firstLineChars="100" w:firstLine="200"/>
        <w:jc w:val="center"/>
        <w:rPr>
          <w:rFonts w:ascii="Verdana" w:hAnsi="Verdana"/>
          <w:b/>
          <w:bCs/>
          <w:color w:val="494949"/>
          <w:sz w:val="20"/>
          <w:szCs w:val="20"/>
          <w:shd w:val="clear" w:color="auto" w:fill="FFFFFF"/>
        </w:rPr>
      </w:pPr>
      <w:r w:rsidRPr="00B40B91">
        <w:rPr>
          <w:rFonts w:ascii="Verdana" w:hAnsi="Verdana"/>
          <w:b/>
          <w:bCs/>
          <w:color w:val="494949"/>
          <w:sz w:val="20"/>
          <w:szCs w:val="20"/>
          <w:shd w:val="clear" w:color="auto" w:fill="FFFFFF"/>
        </w:rPr>
        <w:lastRenderedPageBreak/>
        <w:t>Методологични бележки</w:t>
      </w:r>
    </w:p>
    <w:p w:rsidR="0027104E" w:rsidRPr="00514822" w:rsidRDefault="0027104E" w:rsidP="00160415">
      <w:pPr>
        <w:spacing w:line="360" w:lineRule="auto"/>
        <w:ind w:firstLine="567"/>
        <w:jc w:val="both"/>
        <w:rPr>
          <w:rFonts w:ascii="Verdana" w:hAnsi="Verdana"/>
          <w:color w:val="494949"/>
          <w:sz w:val="20"/>
          <w:szCs w:val="20"/>
          <w:shd w:val="clear" w:color="auto" w:fill="FFFFFF"/>
        </w:rPr>
      </w:pPr>
      <w:r w:rsidRPr="00514822">
        <w:rPr>
          <w:rFonts w:ascii="Verdana" w:hAnsi="Verdana"/>
          <w:b/>
          <w:bCs/>
          <w:color w:val="494949"/>
          <w:sz w:val="20"/>
          <w:szCs w:val="20"/>
          <w:shd w:val="clear" w:color="auto" w:fill="FFFFFF"/>
        </w:rPr>
        <w:t>Таблиците за смъртност</w:t>
      </w:r>
      <w:r w:rsidRPr="00514822">
        <w:rPr>
          <w:rFonts w:ascii="Verdana" w:hAnsi="Verdana"/>
          <w:color w:val="494949"/>
          <w:sz w:val="20"/>
          <w:szCs w:val="20"/>
          <w:shd w:val="clear" w:color="auto" w:fill="FFFFFF"/>
          <w:lang w:val="en-US"/>
        </w:rPr>
        <w:t xml:space="preserve"> </w:t>
      </w:r>
      <w:r w:rsidRPr="00514822"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(биометрични таблици) се използват за изучаване на </w:t>
      </w:r>
      <w:proofErr w:type="spellStart"/>
      <w:r w:rsidRPr="00514822">
        <w:rPr>
          <w:rFonts w:ascii="Verdana" w:hAnsi="Verdana"/>
          <w:color w:val="494949"/>
          <w:sz w:val="20"/>
          <w:szCs w:val="20"/>
          <w:shd w:val="clear" w:color="auto" w:fill="FFFFFF"/>
        </w:rPr>
        <w:t>повъзрастовата</w:t>
      </w:r>
      <w:proofErr w:type="spellEnd"/>
      <w:r w:rsidRPr="00514822"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смъртност на населението. Те показват порядъка на измирането на едно поколение и отразяват постепенното намаление на състава му под влияние на смъртността. Таблиците съдържат система от </w:t>
      </w:r>
      <w:proofErr w:type="spellStart"/>
      <w:r w:rsidRPr="00514822">
        <w:rPr>
          <w:rFonts w:ascii="Verdana" w:hAnsi="Verdana"/>
          <w:color w:val="494949"/>
          <w:sz w:val="20"/>
          <w:szCs w:val="20"/>
          <w:shd w:val="clear" w:color="auto" w:fill="FFFFFF"/>
        </w:rPr>
        <w:t>повъзрастови</w:t>
      </w:r>
      <w:proofErr w:type="spellEnd"/>
      <w:r w:rsidRPr="00514822"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коефициенти (представени като функция на възрастта), които измерват нивото на смъртността в отделните периоди от времето, доживяването до определена възраст, продължителността на живота и други.</w:t>
      </w:r>
    </w:p>
    <w:p w:rsidR="0027104E" w:rsidRPr="00514822" w:rsidRDefault="0027104E" w:rsidP="0027104E">
      <w:pPr>
        <w:spacing w:line="360" w:lineRule="auto"/>
        <w:ind w:firstLine="567"/>
        <w:jc w:val="both"/>
        <w:rPr>
          <w:rFonts w:ascii="Verdana" w:hAnsi="Verdana"/>
          <w:bCs/>
          <w:color w:val="494949"/>
          <w:sz w:val="20"/>
          <w:szCs w:val="20"/>
          <w:shd w:val="clear" w:color="auto" w:fill="FFFFFF"/>
          <w:lang w:val="en-US"/>
        </w:rPr>
      </w:pPr>
      <w:r w:rsidRPr="00514822">
        <w:rPr>
          <w:rFonts w:ascii="Verdana" w:hAnsi="Verdana"/>
          <w:bCs/>
          <w:color w:val="494949"/>
          <w:sz w:val="20"/>
          <w:szCs w:val="20"/>
          <w:shd w:val="clear" w:color="auto" w:fill="FFFFFF"/>
        </w:rPr>
        <w:t>Таблиците за смъртност</w:t>
      </w:r>
      <w:r w:rsidRPr="00514822"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</w:t>
      </w:r>
      <w:r w:rsidRPr="00514822">
        <w:rPr>
          <w:rFonts w:ascii="Verdana" w:hAnsi="Verdana"/>
          <w:bCs/>
          <w:color w:val="494949"/>
          <w:sz w:val="20"/>
          <w:szCs w:val="20"/>
          <w:shd w:val="clear" w:color="auto" w:fill="FFFFFF"/>
        </w:rPr>
        <w:t xml:space="preserve">се изчисляват въз основа на данни за броя на умрелите лица по единична възраст и година на раждане; брой на населението по единична възраст и броя на </w:t>
      </w:r>
      <w:proofErr w:type="spellStart"/>
      <w:r w:rsidRPr="00514822">
        <w:rPr>
          <w:rFonts w:ascii="Verdana" w:hAnsi="Verdana"/>
          <w:bCs/>
          <w:color w:val="494949"/>
          <w:sz w:val="20"/>
          <w:szCs w:val="20"/>
          <w:shd w:val="clear" w:color="auto" w:fill="FFFFFF"/>
        </w:rPr>
        <w:t>живородените</w:t>
      </w:r>
      <w:proofErr w:type="spellEnd"/>
      <w:r w:rsidRPr="00514822">
        <w:rPr>
          <w:rFonts w:ascii="Verdana" w:hAnsi="Verdana"/>
          <w:bCs/>
          <w:color w:val="494949"/>
          <w:sz w:val="20"/>
          <w:szCs w:val="20"/>
          <w:shd w:val="clear" w:color="auto" w:fill="FFFFFF"/>
        </w:rPr>
        <w:t xml:space="preserve"> </w:t>
      </w:r>
      <w:r w:rsidRPr="00514822">
        <w:rPr>
          <w:rFonts w:ascii="Verdana" w:hAnsi="Verdana"/>
          <w:b/>
          <w:bCs/>
          <w:color w:val="494949"/>
          <w:sz w:val="20"/>
          <w:szCs w:val="20"/>
          <w:shd w:val="clear" w:color="auto" w:fill="FFFFFF"/>
        </w:rPr>
        <w:t>от три последователни години</w:t>
      </w:r>
      <w:r w:rsidRPr="00514822">
        <w:rPr>
          <w:rFonts w:ascii="Verdana" w:hAnsi="Verdana"/>
          <w:bCs/>
          <w:color w:val="494949"/>
          <w:sz w:val="20"/>
          <w:szCs w:val="20"/>
          <w:shd w:val="clear" w:color="auto" w:fill="FFFFFF"/>
          <w:lang w:val="en-US"/>
        </w:rPr>
        <w:t>.</w:t>
      </w:r>
    </w:p>
    <w:p w:rsidR="0027104E" w:rsidRPr="00514822" w:rsidRDefault="0027104E" w:rsidP="0027104E">
      <w:pPr>
        <w:spacing w:line="360" w:lineRule="auto"/>
        <w:ind w:firstLine="567"/>
        <w:jc w:val="both"/>
        <w:rPr>
          <w:rFonts w:ascii="Verdana" w:hAnsi="Verdana"/>
          <w:bCs/>
          <w:color w:val="494949"/>
          <w:sz w:val="20"/>
          <w:szCs w:val="20"/>
          <w:shd w:val="clear" w:color="auto" w:fill="FFFFFF"/>
        </w:rPr>
      </w:pPr>
      <w:r w:rsidRPr="00514822">
        <w:rPr>
          <w:rFonts w:ascii="Verdana" w:hAnsi="Verdana"/>
          <w:b/>
          <w:bCs/>
          <w:color w:val="494949"/>
          <w:sz w:val="20"/>
          <w:szCs w:val="20"/>
          <w:shd w:val="clear" w:color="auto" w:fill="FFFFFF"/>
        </w:rPr>
        <w:t>Показателят „средна продължителност на предстоящия живот“</w:t>
      </w:r>
      <w:r w:rsidRPr="00514822">
        <w:rPr>
          <w:rFonts w:ascii="Verdana" w:hAnsi="Verdana"/>
          <w:b/>
          <w:bCs/>
          <w:color w:val="494949"/>
          <w:sz w:val="20"/>
          <w:szCs w:val="20"/>
          <w:shd w:val="clear" w:color="auto" w:fill="FFFFFF"/>
          <w:lang w:val="en-US"/>
        </w:rPr>
        <w:t>,</w:t>
      </w:r>
      <w:r w:rsidRPr="00514822">
        <w:rPr>
          <w:rFonts w:ascii="Verdana" w:hAnsi="Verdana"/>
          <w:bCs/>
          <w:color w:val="494949"/>
          <w:sz w:val="20"/>
          <w:szCs w:val="20"/>
          <w:shd w:val="clear" w:color="auto" w:fill="FFFFFF"/>
        </w:rPr>
        <w:t xml:space="preserve"> изчисляван въз основа на данните от таблиците за смъртност, измерва очакваното (вероятностно) количество години (или брой години), които предстои средно да преживее едно лице на възраст </w:t>
      </w:r>
      <w:r w:rsidRPr="00AB6169">
        <w:rPr>
          <w:rFonts w:ascii="Verdana" w:hAnsi="Verdana"/>
          <w:bCs/>
          <w:i/>
          <w:color w:val="494949"/>
          <w:sz w:val="20"/>
          <w:szCs w:val="20"/>
          <w:shd w:val="clear" w:color="auto" w:fill="FFFFFF"/>
        </w:rPr>
        <w:t>х</w:t>
      </w:r>
      <w:r w:rsidRPr="00514822">
        <w:rPr>
          <w:rFonts w:ascii="Verdana" w:hAnsi="Verdana"/>
          <w:bCs/>
          <w:color w:val="494949"/>
          <w:sz w:val="20"/>
          <w:szCs w:val="20"/>
          <w:shd w:val="clear" w:color="auto" w:fill="FFFFFF"/>
        </w:rPr>
        <w:t xml:space="preserve"> (лицата от всяка възраст), при условие че през целия му живот интензивността на смъртността ще се запази същата, каквато е била през текущия период. </w:t>
      </w:r>
    </w:p>
    <w:p w:rsidR="0027104E" w:rsidRPr="00514822" w:rsidRDefault="0027104E" w:rsidP="0027104E">
      <w:pPr>
        <w:shd w:val="clear" w:color="auto" w:fill="FFFFFF"/>
        <w:spacing w:line="360" w:lineRule="auto"/>
        <w:ind w:firstLine="567"/>
        <w:jc w:val="both"/>
        <w:rPr>
          <w:rFonts w:ascii="Verdana" w:eastAsia="Times New Roman" w:hAnsi="Verdana"/>
          <w:color w:val="494949"/>
          <w:sz w:val="20"/>
          <w:szCs w:val="20"/>
        </w:rPr>
      </w:pPr>
      <w:r w:rsidRPr="00514822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Средната продължителност на предстоящия живот </w:t>
      </w:r>
      <w:r w:rsidRPr="00514822">
        <w:rPr>
          <w:rFonts w:ascii="Verdana" w:eastAsia="Times New Roman" w:hAnsi="Verdana"/>
          <w:bCs/>
          <w:color w:val="494949"/>
          <w:sz w:val="20"/>
          <w:szCs w:val="20"/>
        </w:rPr>
        <w:t>се изчислява като</w:t>
      </w:r>
      <w:r w:rsidRPr="00514822">
        <w:rPr>
          <w:rFonts w:ascii="Verdana" w:eastAsia="Times New Roman" w:hAnsi="Verdana"/>
          <w:b/>
          <w:bCs/>
          <w:color w:val="494949"/>
          <w:sz w:val="20"/>
          <w:szCs w:val="20"/>
        </w:rPr>
        <w:t xml:space="preserve"> </w:t>
      </w:r>
      <w:r w:rsidRPr="00514822">
        <w:rPr>
          <w:rFonts w:ascii="Verdana" w:eastAsia="Times New Roman" w:hAnsi="Verdana"/>
          <w:color w:val="494949"/>
          <w:sz w:val="20"/>
          <w:szCs w:val="20"/>
        </w:rPr>
        <w:t xml:space="preserve">отношение на сумата на човекогодините, които предстоят да преживеят достигналите дадена възраст </w:t>
      </w:r>
      <w:r w:rsidRPr="00AB6169">
        <w:rPr>
          <w:rFonts w:ascii="Verdana" w:eastAsia="Times New Roman" w:hAnsi="Verdana"/>
          <w:i/>
          <w:color w:val="494949"/>
          <w:sz w:val="20"/>
          <w:szCs w:val="20"/>
        </w:rPr>
        <w:t>x</w:t>
      </w:r>
      <w:r w:rsidRPr="00514822">
        <w:rPr>
          <w:rFonts w:ascii="Verdana" w:eastAsia="Times New Roman" w:hAnsi="Verdana"/>
          <w:color w:val="494949"/>
          <w:sz w:val="20"/>
          <w:szCs w:val="20"/>
        </w:rPr>
        <w:t xml:space="preserve"> за целия период от предстоящия им живот (от възраст </w:t>
      </w:r>
      <w:r w:rsidRPr="00AB6169">
        <w:rPr>
          <w:rFonts w:ascii="Verdana" w:eastAsia="Times New Roman" w:hAnsi="Verdana"/>
          <w:i/>
          <w:color w:val="494949"/>
          <w:sz w:val="20"/>
          <w:szCs w:val="20"/>
        </w:rPr>
        <w:t>x</w:t>
      </w:r>
      <w:r w:rsidRPr="00514822">
        <w:rPr>
          <w:rFonts w:ascii="Verdana" w:eastAsia="Times New Roman" w:hAnsi="Verdana"/>
          <w:color w:val="494949"/>
          <w:sz w:val="20"/>
          <w:szCs w:val="20"/>
        </w:rPr>
        <w:t xml:space="preserve"> до пределната възраст), към броя на доживелите възрастта </w:t>
      </w:r>
      <w:r w:rsidRPr="00AB6169">
        <w:rPr>
          <w:rFonts w:ascii="Verdana" w:eastAsia="Times New Roman" w:hAnsi="Verdana"/>
          <w:i/>
          <w:color w:val="494949"/>
          <w:sz w:val="20"/>
          <w:szCs w:val="20"/>
        </w:rPr>
        <w:t>x</w:t>
      </w:r>
      <w:r w:rsidRPr="00514822">
        <w:rPr>
          <w:rFonts w:ascii="Verdana" w:eastAsia="Times New Roman" w:hAnsi="Verdana"/>
          <w:color w:val="494949"/>
          <w:sz w:val="20"/>
          <w:szCs w:val="20"/>
        </w:rPr>
        <w:t>.</w:t>
      </w:r>
    </w:p>
    <w:p w:rsidR="0027104E" w:rsidRPr="00514822" w:rsidRDefault="0027104E" w:rsidP="0027104E">
      <w:pPr>
        <w:shd w:val="clear" w:color="auto" w:fill="FFFFFF"/>
        <w:spacing w:line="360" w:lineRule="auto"/>
        <w:ind w:firstLine="567"/>
        <w:jc w:val="both"/>
        <w:rPr>
          <w:rFonts w:ascii="Verdana" w:eastAsia="Times New Roman" w:hAnsi="Verdana"/>
          <w:color w:val="494949"/>
          <w:sz w:val="20"/>
          <w:szCs w:val="20"/>
        </w:rPr>
      </w:pPr>
      <w:r w:rsidRPr="00514822">
        <w:rPr>
          <w:rFonts w:ascii="Verdana" w:eastAsia="Times New Roman" w:hAnsi="Verdana"/>
          <w:color w:val="494949"/>
          <w:sz w:val="20"/>
          <w:szCs w:val="20"/>
        </w:rPr>
        <w:t>Средната продължителност на предстоящия живот на новороденото се приема за средна продължителност на живота на населението.</w:t>
      </w:r>
    </w:p>
    <w:sectPr w:rsidR="0027104E" w:rsidRPr="00514822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46" w:rsidRDefault="00290746" w:rsidP="00214ACA">
      <w:r>
        <w:separator/>
      </w:r>
    </w:p>
  </w:endnote>
  <w:endnote w:type="continuationSeparator" w:id="0">
    <w:p w:rsidR="00290746" w:rsidRDefault="0029074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2CA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32CA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2CA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32CA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2CA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32CA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46" w:rsidRDefault="00290746" w:rsidP="00214ACA">
      <w:r>
        <w:separator/>
      </w:r>
    </w:p>
  </w:footnote>
  <w:footnote w:type="continuationSeparator" w:id="0">
    <w:p w:rsidR="00290746" w:rsidRDefault="00290746" w:rsidP="00214ACA">
      <w:r>
        <w:continuationSeparator/>
      </w:r>
    </w:p>
  </w:footnote>
  <w:footnote w:id="1">
    <w:p w:rsidR="001F320D" w:rsidRPr="00340FA9" w:rsidRDefault="001F320D" w:rsidP="001F320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E82B1A">
        <w:rPr>
          <w:rStyle w:val="FootnoteReference"/>
          <w:lang w:val="bg-BG"/>
        </w:rPr>
        <w:footnoteRef/>
      </w:r>
      <w:r w:rsidRPr="00E82B1A">
        <w:rPr>
          <w:rFonts w:ascii="Times New Roman" w:hAnsi="Times New Roman"/>
          <w:lang w:val="bg-BG"/>
        </w:rPr>
        <w:t xml:space="preserve"> </w:t>
      </w:r>
      <w:r w:rsidRPr="00340FA9">
        <w:rPr>
          <w:rFonts w:ascii="Verdana" w:hAnsi="Verdana"/>
          <w:sz w:val="16"/>
          <w:szCs w:val="16"/>
          <w:lang w:val="bg-BG"/>
        </w:rPr>
        <w:t xml:space="preserve">Показателят за очакваната продължителност на живота показва средната продължителност на предстоящия живот на новородените при хипотеза за неизменност в интензивността на наблюдаваната през дадена година </w:t>
      </w:r>
      <w:proofErr w:type="spellStart"/>
      <w:r w:rsidRPr="00340FA9">
        <w:rPr>
          <w:rFonts w:ascii="Verdana" w:hAnsi="Verdana"/>
          <w:sz w:val="16"/>
          <w:szCs w:val="16"/>
          <w:lang w:val="bg-BG"/>
        </w:rPr>
        <w:t>повъзрастова</w:t>
      </w:r>
      <w:proofErr w:type="spellEnd"/>
      <w:r w:rsidRPr="00340FA9">
        <w:rPr>
          <w:rFonts w:ascii="Verdana" w:hAnsi="Verdana"/>
          <w:sz w:val="16"/>
          <w:szCs w:val="16"/>
          <w:lang w:val="bg-BG"/>
        </w:rPr>
        <w:t xml:space="preserve"> смъртност.</w:t>
      </w:r>
    </w:p>
    <w:p w:rsidR="001F320D" w:rsidRPr="00A40B6D" w:rsidRDefault="001F320D" w:rsidP="001F320D">
      <w:pPr>
        <w:pStyle w:val="FootnoteText"/>
        <w:jc w:val="both"/>
        <w:rPr>
          <w:rFonts w:ascii="Times New Roman" w:hAnsi="Times New Roman"/>
          <w:lang w:val="bg-BG"/>
        </w:rPr>
      </w:pPr>
      <w:r w:rsidRPr="00340FA9">
        <w:rPr>
          <w:rFonts w:ascii="Verdana" w:hAnsi="Verdana"/>
          <w:sz w:val="16"/>
          <w:szCs w:val="16"/>
          <w:lang w:val="bg-BG"/>
        </w:rPr>
        <w:t>Подробна информация за очакваната средна продължителност на предстоящия живот за отделните възрасти е публикувана на сайта на НСИ в рубриката „Население и демографски процеси“, тема „Таблици за смъртност</w:t>
      </w:r>
      <w:r w:rsidRPr="00AB6169">
        <w:rPr>
          <w:rFonts w:ascii="Verdana" w:hAnsi="Verdana"/>
          <w:sz w:val="16"/>
          <w:szCs w:val="16"/>
          <w:lang w:val="bg-BG"/>
        </w:rPr>
        <w:t>“</w:t>
      </w:r>
      <w:r w:rsidRPr="00E82B1A">
        <w:rPr>
          <w:rFonts w:ascii="Times New Roman" w:hAnsi="Times New Roman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A50313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-270155</wp:posOffset>
              </wp:positionH>
              <wp:positionV relativeFrom="paragraph">
                <wp:posOffset>172492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73F5F" id="Graphic 7" o:spid="_x0000_s1026" style="position:absolute;margin-left:-21.25pt;margin-top:13.6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FYFqoT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F3AF3"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4095750" cy="431165"/>
              <wp:effectExtent l="0" t="0" r="4445" b="698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DE0" w:rsidRPr="00101DE0" w:rsidRDefault="002F3AF3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CE2BB1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Очаквана средна продължителност на предстоящия живот на населението през </w:t>
                          </w:r>
                          <w:r w:rsidR="00CE2BB1" w:rsidRPr="00CE2BB1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периода </w:t>
                          </w:r>
                          <w:r w:rsidR="00101DE0" w:rsidRPr="00CE2BB1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202</w:t>
                          </w:r>
                          <w:r w:rsidRPr="00CE2BB1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1 - 2023</w:t>
                          </w:r>
                          <w:r w:rsidR="00101DE0" w:rsidRPr="00101DE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9.25pt;width:322.5pt;height:33.9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" stroked="f">
              <v:textbox>
                <w:txbxContent>
                  <w:p w:rsidR="00101DE0" w:rsidRPr="00101DE0" w:rsidRDefault="002F3AF3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CE2BB1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Очаквана средна продължителност на предстоящия живот на населението през </w:t>
                    </w:r>
                    <w:r w:rsidR="00CE2BB1" w:rsidRPr="00CE2BB1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периода </w:t>
                    </w:r>
                    <w:r w:rsidR="00101DE0" w:rsidRPr="00CE2BB1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202</w:t>
                    </w:r>
                    <w:r w:rsidRPr="00CE2BB1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1 - 2023</w:t>
                    </w:r>
                    <w:r w:rsidR="00101DE0" w:rsidRPr="00101DE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A5031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176809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FD45F0" id="Graphic 7" o:spid="_x0000_s1026" style="position:absolute;margin-left:0;margin-top:13.9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CE2BB1"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posOffset>828675</wp:posOffset>
              </wp:positionH>
              <wp:positionV relativeFrom="paragraph">
                <wp:posOffset>-307340</wp:posOffset>
              </wp:positionV>
              <wp:extent cx="4439920" cy="42418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8F1" w:rsidRPr="00101DE0" w:rsidRDefault="00CE2BB1" w:rsidP="00CE2BB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Очаквана средна продължителност на предстоящия живот на населението през периода 2021-2023 година</w:t>
                          </w:r>
                          <w:r w:rsidR="003D5F6D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5.25pt;margin-top:-24.2pt;width:349.6pt;height:3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" stroked="f">
              <v:textbox>
                <w:txbxContent>
                  <w:p w:rsidR="008748F1" w:rsidRPr="00101DE0" w:rsidRDefault="00CE2BB1" w:rsidP="00CE2BB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Очаквана средна продължителност на предстоящия живот на населението през периода 2021-2023 година</w:t>
                    </w:r>
                    <w:r w:rsidR="003D5F6D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FE5"/>
    <w:multiLevelType w:val="hybridMultilevel"/>
    <w:tmpl w:val="79588C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C0D56"/>
    <w:rsid w:val="000D441F"/>
    <w:rsid w:val="000F0B88"/>
    <w:rsid w:val="00101DE0"/>
    <w:rsid w:val="00117D68"/>
    <w:rsid w:val="00160415"/>
    <w:rsid w:val="00171C36"/>
    <w:rsid w:val="001869EA"/>
    <w:rsid w:val="001901A0"/>
    <w:rsid w:val="001B03D8"/>
    <w:rsid w:val="001D5DEC"/>
    <w:rsid w:val="001E5BA2"/>
    <w:rsid w:val="001E7AC3"/>
    <w:rsid w:val="001F320D"/>
    <w:rsid w:val="001F71BD"/>
    <w:rsid w:val="00214ACA"/>
    <w:rsid w:val="00250990"/>
    <w:rsid w:val="00254B6C"/>
    <w:rsid w:val="0027104E"/>
    <w:rsid w:val="00290746"/>
    <w:rsid w:val="002C72D4"/>
    <w:rsid w:val="002F3AF3"/>
    <w:rsid w:val="00332C88"/>
    <w:rsid w:val="00336556"/>
    <w:rsid w:val="00344CD6"/>
    <w:rsid w:val="00364357"/>
    <w:rsid w:val="0037248F"/>
    <w:rsid w:val="0038746A"/>
    <w:rsid w:val="003B2503"/>
    <w:rsid w:val="003B42F8"/>
    <w:rsid w:val="003B46BA"/>
    <w:rsid w:val="003C2111"/>
    <w:rsid w:val="003D5F6D"/>
    <w:rsid w:val="00401A8B"/>
    <w:rsid w:val="00446CF4"/>
    <w:rsid w:val="004760D3"/>
    <w:rsid w:val="0048383B"/>
    <w:rsid w:val="00486232"/>
    <w:rsid w:val="004F064E"/>
    <w:rsid w:val="005146DC"/>
    <w:rsid w:val="00520539"/>
    <w:rsid w:val="00542064"/>
    <w:rsid w:val="0059277D"/>
    <w:rsid w:val="005B4023"/>
    <w:rsid w:val="006027C4"/>
    <w:rsid w:val="006055DD"/>
    <w:rsid w:val="006120F5"/>
    <w:rsid w:val="00635D01"/>
    <w:rsid w:val="00644D53"/>
    <w:rsid w:val="00654814"/>
    <w:rsid w:val="006A212D"/>
    <w:rsid w:val="006C1B03"/>
    <w:rsid w:val="006D1BE4"/>
    <w:rsid w:val="00703743"/>
    <w:rsid w:val="00704539"/>
    <w:rsid w:val="007359C3"/>
    <w:rsid w:val="00764226"/>
    <w:rsid w:val="007831CB"/>
    <w:rsid w:val="007C61E0"/>
    <w:rsid w:val="007C7A6A"/>
    <w:rsid w:val="007F116A"/>
    <w:rsid w:val="007F17B3"/>
    <w:rsid w:val="00815EE5"/>
    <w:rsid w:val="00870559"/>
    <w:rsid w:val="008748F1"/>
    <w:rsid w:val="00881B14"/>
    <w:rsid w:val="00883238"/>
    <w:rsid w:val="008A24B2"/>
    <w:rsid w:val="008D3797"/>
    <w:rsid w:val="008E71E8"/>
    <w:rsid w:val="00932CA6"/>
    <w:rsid w:val="0094060D"/>
    <w:rsid w:val="00947EBF"/>
    <w:rsid w:val="00972E4B"/>
    <w:rsid w:val="009A0278"/>
    <w:rsid w:val="009A1A85"/>
    <w:rsid w:val="009A6B8F"/>
    <w:rsid w:val="009B3016"/>
    <w:rsid w:val="009E4021"/>
    <w:rsid w:val="00A14E83"/>
    <w:rsid w:val="00A44B07"/>
    <w:rsid w:val="00A50313"/>
    <w:rsid w:val="00A7142A"/>
    <w:rsid w:val="00A869E9"/>
    <w:rsid w:val="00AA2523"/>
    <w:rsid w:val="00AB6169"/>
    <w:rsid w:val="00AC3D78"/>
    <w:rsid w:val="00AE4196"/>
    <w:rsid w:val="00AF2D94"/>
    <w:rsid w:val="00B0333E"/>
    <w:rsid w:val="00B07D27"/>
    <w:rsid w:val="00B52492"/>
    <w:rsid w:val="00B55B11"/>
    <w:rsid w:val="00B77149"/>
    <w:rsid w:val="00C14799"/>
    <w:rsid w:val="00C20F63"/>
    <w:rsid w:val="00C22E8B"/>
    <w:rsid w:val="00C616FD"/>
    <w:rsid w:val="00C93974"/>
    <w:rsid w:val="00CA0766"/>
    <w:rsid w:val="00CC6BF4"/>
    <w:rsid w:val="00CD0608"/>
    <w:rsid w:val="00CD599B"/>
    <w:rsid w:val="00CE2BB1"/>
    <w:rsid w:val="00CF6C73"/>
    <w:rsid w:val="00D1206B"/>
    <w:rsid w:val="00D546F0"/>
    <w:rsid w:val="00D82477"/>
    <w:rsid w:val="00DD11CB"/>
    <w:rsid w:val="00DE20CA"/>
    <w:rsid w:val="00DE4F56"/>
    <w:rsid w:val="00E06C73"/>
    <w:rsid w:val="00E13DB4"/>
    <w:rsid w:val="00E563C3"/>
    <w:rsid w:val="00E67823"/>
    <w:rsid w:val="00E82F9C"/>
    <w:rsid w:val="00E875EF"/>
    <w:rsid w:val="00EB5089"/>
    <w:rsid w:val="00EC19A7"/>
    <w:rsid w:val="00F00E7B"/>
    <w:rsid w:val="00F247B6"/>
    <w:rsid w:val="00F70361"/>
    <w:rsid w:val="00F720EA"/>
    <w:rsid w:val="00F75C62"/>
    <w:rsid w:val="00FA00EF"/>
    <w:rsid w:val="00FD04B1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351992765610179E-2"/>
          <c:y val="0.10273276049306632"/>
          <c:w val="0.94192531815875957"/>
          <c:h val="0.61999928314721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t_m_f!$B$22</c:f>
              <c:strCache>
                <c:ptCount val="1"/>
                <c:pt idx="0">
                  <c:v>Oбщо</c:v>
                </c:pt>
              </c:strCache>
            </c:strRef>
          </c:tx>
          <c:invertIfNegative val="0"/>
          <c:cat>
            <c:strRef>
              <c:f>t_m_f!$A$23:$A$35</c:f>
              <c:strCache>
                <c:ptCount val="13"/>
                <c:pt idx="0">
                  <c:v>1935 - 1939</c:v>
                </c:pt>
                <c:pt idx="1">
                  <c:v>1961 - 1963</c:v>
                </c:pt>
                <c:pt idx="2">
                  <c:v>1991 - 1993</c:v>
                </c:pt>
                <c:pt idx="3">
                  <c:v>2001 - 2003</c:v>
                </c:pt>
                <c:pt idx="4">
                  <c:v>2011 - 2013</c:v>
                </c:pt>
                <c:pt idx="5">
                  <c:v>2014 - 2016</c:v>
                </c:pt>
                <c:pt idx="6">
                  <c:v>2015 - 2017</c:v>
                </c:pt>
                <c:pt idx="7">
                  <c:v>2016 - 2018</c:v>
                </c:pt>
                <c:pt idx="8">
                  <c:v>2017 - 2019</c:v>
                </c:pt>
                <c:pt idx="9">
                  <c:v>2018 - 2020</c:v>
                </c:pt>
                <c:pt idx="10">
                  <c:v>2019 - 2021</c:v>
                </c:pt>
                <c:pt idx="11">
                  <c:v>2020 - 2022</c:v>
                </c:pt>
                <c:pt idx="12">
                  <c:v>2021 - 2023</c:v>
                </c:pt>
              </c:strCache>
            </c:strRef>
          </c:cat>
          <c:val>
            <c:numRef>
              <c:f>t_m_f!$B$23:$B$35</c:f>
              <c:numCache>
                <c:formatCode>General</c:formatCode>
                <c:ptCount val="13"/>
                <c:pt idx="0">
                  <c:v>51.8</c:v>
                </c:pt>
                <c:pt idx="1">
                  <c:v>70.400000000000006</c:v>
                </c:pt>
                <c:pt idx="2">
                  <c:v>71.099999999999994</c:v>
                </c:pt>
                <c:pt idx="3">
                  <c:v>72.099999999999994</c:v>
                </c:pt>
                <c:pt idx="4" formatCode="0.0">
                  <c:v>74.5</c:v>
                </c:pt>
                <c:pt idx="5">
                  <c:v>74.7</c:v>
                </c:pt>
                <c:pt idx="6">
                  <c:v>74.8</c:v>
                </c:pt>
                <c:pt idx="7">
                  <c:v>74.8</c:v>
                </c:pt>
                <c:pt idx="8">
                  <c:v>74.900000000000006</c:v>
                </c:pt>
                <c:pt idx="9">
                  <c:v>74.599999999999994</c:v>
                </c:pt>
                <c:pt idx="10">
                  <c:v>73.599999999999994</c:v>
                </c:pt>
                <c:pt idx="11">
                  <c:v>71.900000000000006</c:v>
                </c:pt>
                <c:pt idx="12">
                  <c:v>73.5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20-4442-80BE-E86F026C505D}"/>
            </c:ext>
          </c:extLst>
        </c:ser>
        <c:ser>
          <c:idx val="1"/>
          <c:order val="1"/>
          <c:tx>
            <c:strRef>
              <c:f>t_m_f!$C$22</c:f>
              <c:strCache>
                <c:ptCount val="1"/>
                <c:pt idx="0">
                  <c:v>Мъже</c:v>
                </c:pt>
              </c:strCache>
            </c:strRef>
          </c:tx>
          <c:invertIfNegative val="0"/>
          <c:cat>
            <c:strRef>
              <c:f>t_m_f!$A$23:$A$35</c:f>
              <c:strCache>
                <c:ptCount val="13"/>
                <c:pt idx="0">
                  <c:v>1935 - 1939</c:v>
                </c:pt>
                <c:pt idx="1">
                  <c:v>1961 - 1963</c:v>
                </c:pt>
                <c:pt idx="2">
                  <c:v>1991 - 1993</c:v>
                </c:pt>
                <c:pt idx="3">
                  <c:v>2001 - 2003</c:v>
                </c:pt>
                <c:pt idx="4">
                  <c:v>2011 - 2013</c:v>
                </c:pt>
                <c:pt idx="5">
                  <c:v>2014 - 2016</c:v>
                </c:pt>
                <c:pt idx="6">
                  <c:v>2015 - 2017</c:v>
                </c:pt>
                <c:pt idx="7">
                  <c:v>2016 - 2018</c:v>
                </c:pt>
                <c:pt idx="8">
                  <c:v>2017 - 2019</c:v>
                </c:pt>
                <c:pt idx="9">
                  <c:v>2018 - 2020</c:v>
                </c:pt>
                <c:pt idx="10">
                  <c:v>2019 - 2021</c:v>
                </c:pt>
                <c:pt idx="11">
                  <c:v>2020 - 2022</c:v>
                </c:pt>
                <c:pt idx="12">
                  <c:v>2021 - 2023</c:v>
                </c:pt>
              </c:strCache>
            </c:strRef>
          </c:cat>
          <c:val>
            <c:numRef>
              <c:f>t_m_f!$C$23:$C$35</c:f>
              <c:numCache>
                <c:formatCode>General</c:formatCode>
                <c:ptCount val="13"/>
                <c:pt idx="0" formatCode="0.0">
                  <c:v>51</c:v>
                </c:pt>
                <c:pt idx="1">
                  <c:v>68.7</c:v>
                </c:pt>
                <c:pt idx="2" formatCode="0.0">
                  <c:v>67.7</c:v>
                </c:pt>
                <c:pt idx="3">
                  <c:v>68.7</c:v>
                </c:pt>
                <c:pt idx="4" formatCode="0.0">
                  <c:v>71</c:v>
                </c:pt>
                <c:pt idx="5">
                  <c:v>71.2</c:v>
                </c:pt>
                <c:pt idx="6">
                  <c:v>71.3</c:v>
                </c:pt>
                <c:pt idx="7">
                  <c:v>71.400000000000006</c:v>
                </c:pt>
                <c:pt idx="8">
                  <c:v>71.5</c:v>
                </c:pt>
                <c:pt idx="9">
                  <c:v>71.099999999999994</c:v>
                </c:pt>
                <c:pt idx="10">
                  <c:v>70.099999999999994</c:v>
                </c:pt>
                <c:pt idx="11">
                  <c:v>68.3</c:v>
                </c:pt>
                <c:pt idx="12">
                  <c:v>69.900000000000006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20-4442-80BE-E86F026C505D}"/>
            </c:ext>
          </c:extLst>
        </c:ser>
        <c:ser>
          <c:idx val="2"/>
          <c:order val="2"/>
          <c:tx>
            <c:strRef>
              <c:f>t_m_f!$D$22</c:f>
              <c:strCache>
                <c:ptCount val="1"/>
                <c:pt idx="0">
                  <c:v>Жени</c:v>
                </c:pt>
              </c:strCache>
            </c:strRef>
          </c:tx>
          <c:invertIfNegative val="0"/>
          <c:cat>
            <c:strRef>
              <c:f>t_m_f!$A$23:$A$35</c:f>
              <c:strCache>
                <c:ptCount val="13"/>
                <c:pt idx="0">
                  <c:v>1935 - 1939</c:v>
                </c:pt>
                <c:pt idx="1">
                  <c:v>1961 - 1963</c:v>
                </c:pt>
                <c:pt idx="2">
                  <c:v>1991 - 1993</c:v>
                </c:pt>
                <c:pt idx="3">
                  <c:v>2001 - 2003</c:v>
                </c:pt>
                <c:pt idx="4">
                  <c:v>2011 - 2013</c:v>
                </c:pt>
                <c:pt idx="5">
                  <c:v>2014 - 2016</c:v>
                </c:pt>
                <c:pt idx="6">
                  <c:v>2015 - 2017</c:v>
                </c:pt>
                <c:pt idx="7">
                  <c:v>2016 - 2018</c:v>
                </c:pt>
                <c:pt idx="8">
                  <c:v>2017 - 2019</c:v>
                </c:pt>
                <c:pt idx="9">
                  <c:v>2018 - 2020</c:v>
                </c:pt>
                <c:pt idx="10">
                  <c:v>2019 - 2021</c:v>
                </c:pt>
                <c:pt idx="11">
                  <c:v>2020 - 2022</c:v>
                </c:pt>
                <c:pt idx="12">
                  <c:v>2021 - 2023</c:v>
                </c:pt>
              </c:strCache>
            </c:strRef>
          </c:cat>
          <c:val>
            <c:numRef>
              <c:f>t_m_f!$D$23:$D$35</c:f>
              <c:numCache>
                <c:formatCode>General</c:formatCode>
                <c:ptCount val="13"/>
                <c:pt idx="0">
                  <c:v>52.6</c:v>
                </c:pt>
                <c:pt idx="1">
                  <c:v>72.2</c:v>
                </c:pt>
                <c:pt idx="2">
                  <c:v>74.7</c:v>
                </c:pt>
                <c:pt idx="3">
                  <c:v>75.599999999999994</c:v>
                </c:pt>
                <c:pt idx="4" formatCode="0.0">
                  <c:v>78</c:v>
                </c:pt>
                <c:pt idx="5">
                  <c:v>78.2</c:v>
                </c:pt>
                <c:pt idx="6">
                  <c:v>78.400000000000006</c:v>
                </c:pt>
                <c:pt idx="7">
                  <c:v>78.400000000000006</c:v>
                </c:pt>
                <c:pt idx="8">
                  <c:v>78.5</c:v>
                </c:pt>
                <c:pt idx="9">
                  <c:v>78.2</c:v>
                </c:pt>
                <c:pt idx="10">
                  <c:v>77.400000000000006</c:v>
                </c:pt>
                <c:pt idx="11">
                  <c:v>75.8</c:v>
                </c:pt>
                <c:pt idx="12">
                  <c:v>77.3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20-4442-80BE-E86F026C5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142719"/>
        <c:axId val="1"/>
      </c:barChart>
      <c:catAx>
        <c:axId val="1318142719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r>
                  <a:rPr lang="en-US" sz="800">
                    <a:latin typeface="Verdana" panose="020B0604030504040204" pitchFamily="34" charset="0"/>
                    <a:ea typeface="Verdana" panose="020B0604030504040204" pitchFamily="34" charset="0"/>
                  </a:rPr>
                  <a:t>      </a:t>
                </a: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Възраст</a:t>
                </a:r>
              </a:p>
            </c:rich>
          </c:tx>
          <c:layout>
            <c:manualLayout>
              <c:xMode val="edge"/>
              <c:yMode val="edge"/>
              <c:x val="4.9812340232715212E-3"/>
              <c:y val="2.6296035029519615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318142719"/>
        <c:crosses val="autoZero"/>
        <c:crossBetween val="between"/>
        <c:majorUnit val="5"/>
      </c:valAx>
    </c:plotArea>
    <c:legend>
      <c:legendPos val="b"/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E9EA-2886-46F6-B567-C3285F6D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Detelina Popcheva</cp:lastModifiedBy>
  <cp:revision>44</cp:revision>
  <dcterms:created xsi:type="dcterms:W3CDTF">2024-04-30T13:27:00Z</dcterms:created>
  <dcterms:modified xsi:type="dcterms:W3CDTF">2024-05-20T07:59:00Z</dcterms:modified>
</cp:coreProperties>
</file>