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14" w:rsidRPr="00715D14" w:rsidRDefault="00715D14" w:rsidP="00715D1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</w:pPr>
    </w:p>
    <w:p w:rsidR="00715D14" w:rsidRPr="00715D14" w:rsidRDefault="00715D14" w:rsidP="00715D1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</w:pPr>
      <w:r w:rsidRPr="00715D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  <w:t>Р Е П У Б Л И К А   Б Ъ Л Г А Р И Я</w:t>
      </w:r>
    </w:p>
    <w:p w:rsidR="00715D14" w:rsidRPr="00715D14" w:rsidRDefault="00715D14" w:rsidP="00715D1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</w:pPr>
    </w:p>
    <w:p w:rsidR="00715D14" w:rsidRPr="00715D14" w:rsidRDefault="00715D14" w:rsidP="00715D1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</w:pPr>
      <w:r w:rsidRPr="00715D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  <w:t>МИНИСТЕРСТВО НА ТРУДА И СОЦИАЛНАТА ПОЛИТИКА</w:t>
      </w:r>
    </w:p>
    <w:p w:rsidR="00715D14" w:rsidRPr="00715D14" w:rsidRDefault="00715D14" w:rsidP="00715D1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</w:pPr>
      <w:r w:rsidRPr="00715D14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08B022" wp14:editId="1A40B41A">
                <wp:simplePos x="0" y="0"/>
                <wp:positionH relativeFrom="column">
                  <wp:posOffset>342900</wp:posOffset>
                </wp:positionH>
                <wp:positionV relativeFrom="paragraph">
                  <wp:posOffset>57150</wp:posOffset>
                </wp:positionV>
                <wp:extent cx="5577840" cy="0"/>
                <wp:effectExtent l="0" t="1905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A86AE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4.5pt" to="46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9WHgIAADcEAAAOAAAAZHJzL2Uyb0RvYy54bWysU8uu0zAU3CPxD5b3bZKSPm7U9AolLZsL&#10;VOrlA1zbSSwc27LdphXi3zl2H1DYIEQXrh/Hkzkz4+XzqZfoyK0TWpU4G6cYcUU1E6ot8ZfXzWiB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" strokeweight="2.25pt"/>
            </w:pict>
          </mc:Fallback>
        </mc:AlternateContent>
      </w:r>
    </w:p>
    <w:p w:rsidR="00715D14" w:rsidRPr="00715D14" w:rsidRDefault="00715D14" w:rsidP="00715D14">
      <w:pPr>
        <w:pBdr>
          <w:bottom w:val="single" w:sz="6" w:space="0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15D1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1051 София, ул. Триадица 2, тел.: (02) 987 3394, факс: (02) 986 1318, e-mail: </w:t>
      </w:r>
      <w:hyperlink r:id="rId7" w:history="1">
        <w:r w:rsidRPr="00715D14">
          <w:rPr>
            <w:rFonts w:ascii="Times New Roman" w:eastAsia="Calibri" w:hAnsi="Times New Roman" w:cs="Times New Roman"/>
            <w:b/>
            <w:color w:val="000000"/>
            <w:sz w:val="26"/>
            <w:szCs w:val="26"/>
            <w:u w:val="single"/>
          </w:rPr>
          <w:t>press@mlsp.government.bg</w:t>
        </w:r>
      </w:hyperlink>
    </w:p>
    <w:p w:rsidR="00715D14" w:rsidRPr="00715D14" w:rsidRDefault="00715D14" w:rsidP="00715D14">
      <w:pPr>
        <w:spacing w:after="200" w:line="276" w:lineRule="auto"/>
        <w:jc w:val="center"/>
        <w:rPr>
          <w:rFonts w:ascii="Times New Roman" w:eastAsia="Calibri" w:hAnsi="Times New Roman" w:cs="Times New Roman"/>
          <w:color w:val="0000FF"/>
          <w:sz w:val="26"/>
          <w:szCs w:val="26"/>
        </w:rPr>
      </w:pPr>
      <w:r w:rsidRPr="00715D14">
        <w:rPr>
          <w:rFonts w:ascii="Times New Roman" w:eastAsia="Calibri" w:hAnsi="Times New Roman" w:cs="Times New Roman"/>
          <w:color w:val="0000FF"/>
          <w:sz w:val="26"/>
          <w:szCs w:val="26"/>
        </w:rPr>
        <w:t>«Връзки с обществеността»</w:t>
      </w:r>
    </w:p>
    <w:p w:rsidR="00715D14" w:rsidRDefault="00715D14" w:rsidP="00715D14">
      <w:pPr>
        <w:rPr>
          <w:rFonts w:ascii="Times New Roman" w:hAnsi="Times New Roman" w:cs="Times New Roman"/>
          <w:b/>
          <w:sz w:val="28"/>
          <w:szCs w:val="28"/>
        </w:rPr>
      </w:pPr>
    </w:p>
    <w:p w:rsidR="00F77AE9" w:rsidRPr="00600591" w:rsidRDefault="00600591" w:rsidP="0060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591">
        <w:rPr>
          <w:rFonts w:ascii="Times New Roman" w:hAnsi="Times New Roman" w:cs="Times New Roman"/>
          <w:b/>
          <w:sz w:val="28"/>
          <w:szCs w:val="28"/>
        </w:rPr>
        <w:t xml:space="preserve">Средната пенсия ще </w:t>
      </w:r>
      <w:r w:rsidR="00832D82">
        <w:rPr>
          <w:rFonts w:ascii="Times New Roman" w:hAnsi="Times New Roman" w:cs="Times New Roman"/>
          <w:b/>
          <w:sz w:val="28"/>
          <w:szCs w:val="28"/>
        </w:rPr>
        <w:t>до</w:t>
      </w:r>
      <w:r w:rsidRPr="00600591">
        <w:rPr>
          <w:rFonts w:ascii="Times New Roman" w:hAnsi="Times New Roman" w:cs="Times New Roman"/>
          <w:b/>
          <w:sz w:val="28"/>
          <w:szCs w:val="28"/>
        </w:rPr>
        <w:t>стигне 725 лв. след преизчисл</w:t>
      </w:r>
      <w:r w:rsidR="00832D82">
        <w:rPr>
          <w:rFonts w:ascii="Times New Roman" w:hAnsi="Times New Roman" w:cs="Times New Roman"/>
          <w:b/>
          <w:sz w:val="28"/>
          <w:szCs w:val="28"/>
        </w:rPr>
        <w:t>яването</w:t>
      </w:r>
      <w:r w:rsidRPr="00600591">
        <w:rPr>
          <w:rFonts w:ascii="Times New Roman" w:hAnsi="Times New Roman" w:cs="Times New Roman"/>
          <w:b/>
          <w:sz w:val="28"/>
          <w:szCs w:val="28"/>
        </w:rPr>
        <w:t xml:space="preserve"> от 1 октомври</w:t>
      </w:r>
      <w:bookmarkStart w:id="0" w:name="_GoBack"/>
      <w:bookmarkEnd w:id="0"/>
    </w:p>
    <w:p w:rsidR="00600591" w:rsidRDefault="00600591" w:rsidP="00F77AE9"/>
    <w:p w:rsidR="00AA1CE6" w:rsidRPr="00600591" w:rsidRDefault="00F77AE9" w:rsidP="006972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91">
        <w:rPr>
          <w:rFonts w:ascii="Times New Roman" w:hAnsi="Times New Roman" w:cs="Times New Roman"/>
          <w:sz w:val="26"/>
          <w:szCs w:val="26"/>
        </w:rPr>
        <w:t>Всички пенсии за трудова дейност, отпуснати до 31 декември 2021 г., ще бъдат преизчислени от 1 октомври. В резултат от това средната пенсия ще доближи 725 лв. и ще нарасне с малко повече от 8,5%  спрямо септември, показва прогнозата на Националния осигурителен институт</w:t>
      </w:r>
      <w:r w:rsidR="00DA04BA" w:rsidRPr="00600591">
        <w:rPr>
          <w:rFonts w:ascii="Times New Roman" w:hAnsi="Times New Roman" w:cs="Times New Roman"/>
          <w:sz w:val="26"/>
          <w:szCs w:val="26"/>
        </w:rPr>
        <w:t xml:space="preserve"> (НОИ)</w:t>
      </w:r>
      <w:r w:rsidRPr="00600591">
        <w:rPr>
          <w:rFonts w:ascii="Times New Roman" w:hAnsi="Times New Roman" w:cs="Times New Roman"/>
          <w:sz w:val="26"/>
          <w:szCs w:val="26"/>
        </w:rPr>
        <w:t xml:space="preserve">. Основната цел на </w:t>
      </w:r>
      <w:r w:rsidR="00AA1CE6" w:rsidRPr="00600591">
        <w:rPr>
          <w:rFonts w:ascii="Times New Roman" w:hAnsi="Times New Roman" w:cs="Times New Roman"/>
          <w:sz w:val="26"/>
          <w:szCs w:val="26"/>
        </w:rPr>
        <w:t>преизчисл</w:t>
      </w:r>
      <w:r w:rsidR="00E73B73">
        <w:rPr>
          <w:rFonts w:ascii="Times New Roman" w:hAnsi="Times New Roman" w:cs="Times New Roman"/>
          <w:sz w:val="26"/>
          <w:szCs w:val="26"/>
        </w:rPr>
        <w:t>яването</w:t>
      </w:r>
      <w:r w:rsidR="00AA1CE6" w:rsidRPr="00600591">
        <w:rPr>
          <w:rFonts w:ascii="Times New Roman" w:hAnsi="Times New Roman" w:cs="Times New Roman"/>
          <w:sz w:val="26"/>
          <w:szCs w:val="26"/>
        </w:rPr>
        <w:t xml:space="preserve"> е да намали разликата между размерите на най-отдавна отпуснатите пенсии с тези от последните години.</w:t>
      </w:r>
    </w:p>
    <w:p w:rsidR="00DA04BA" w:rsidRPr="00600591" w:rsidRDefault="00AA1CE6" w:rsidP="00715D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91">
        <w:rPr>
          <w:rFonts w:ascii="Times New Roman" w:hAnsi="Times New Roman" w:cs="Times New Roman"/>
          <w:sz w:val="26"/>
          <w:szCs w:val="26"/>
        </w:rPr>
        <w:t>Очакванията са, че малко над 700 000 пенсионери ще получат по-висок</w:t>
      </w:r>
      <w:r w:rsidR="00832D82">
        <w:rPr>
          <w:rFonts w:ascii="Times New Roman" w:hAnsi="Times New Roman" w:cs="Times New Roman"/>
          <w:sz w:val="26"/>
          <w:szCs w:val="26"/>
        </w:rPr>
        <w:t>а</w:t>
      </w:r>
      <w:r w:rsidRPr="00600591">
        <w:rPr>
          <w:rFonts w:ascii="Times New Roman" w:hAnsi="Times New Roman" w:cs="Times New Roman"/>
          <w:sz w:val="26"/>
          <w:szCs w:val="26"/>
        </w:rPr>
        <w:t xml:space="preserve"> пенсия след 1 октомври. Основната причина за това е, че се преизчислява действителният размер на пенсията, а не изплащания</w:t>
      </w:r>
      <w:r w:rsidR="00E73B73">
        <w:rPr>
          <w:rFonts w:ascii="Times New Roman" w:hAnsi="Times New Roman" w:cs="Times New Roman"/>
          <w:sz w:val="26"/>
          <w:szCs w:val="26"/>
        </w:rPr>
        <w:t>т</w:t>
      </w:r>
      <w:r w:rsidRPr="00600591">
        <w:rPr>
          <w:rFonts w:ascii="Times New Roman" w:hAnsi="Times New Roman" w:cs="Times New Roman"/>
          <w:sz w:val="26"/>
          <w:szCs w:val="26"/>
        </w:rPr>
        <w:t xml:space="preserve"> от НОИ. Когато той е под минималния размер на съответния вид пенсия, е възможно преизчисленият размер </w:t>
      </w:r>
      <w:r w:rsidR="00944443" w:rsidRPr="00600591">
        <w:rPr>
          <w:rFonts w:ascii="Times New Roman" w:hAnsi="Times New Roman" w:cs="Times New Roman"/>
          <w:sz w:val="26"/>
          <w:szCs w:val="26"/>
        </w:rPr>
        <w:t>да се окаже по-нисък от гарантирания от държавата минимум. Във всички случаи, когато преизчислената пенсия е по-ниска от досега получаваната, хората ще продължат я получават в досега изплащания по-висок размер.</w:t>
      </w:r>
      <w:r w:rsidR="00DA04BA" w:rsidRPr="00600591">
        <w:rPr>
          <w:rFonts w:ascii="Times New Roman" w:hAnsi="Times New Roman" w:cs="Times New Roman"/>
          <w:sz w:val="26"/>
          <w:szCs w:val="26"/>
        </w:rPr>
        <w:t xml:space="preserve"> Преизчисляването ще се извърши служебно от НОИ, поради което не е необходимо пенсионерите да подават заявления.</w:t>
      </w:r>
    </w:p>
    <w:p w:rsidR="00944443" w:rsidRPr="00600591" w:rsidRDefault="00944443" w:rsidP="006972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91">
        <w:rPr>
          <w:rFonts w:ascii="Times New Roman" w:hAnsi="Times New Roman" w:cs="Times New Roman"/>
          <w:sz w:val="26"/>
          <w:szCs w:val="26"/>
        </w:rPr>
        <w:t>Във връзка с предстоящото преизчисл</w:t>
      </w:r>
      <w:r w:rsidR="00832D82">
        <w:rPr>
          <w:rFonts w:ascii="Times New Roman" w:hAnsi="Times New Roman" w:cs="Times New Roman"/>
          <w:sz w:val="26"/>
          <w:szCs w:val="26"/>
        </w:rPr>
        <w:t>яван</w:t>
      </w:r>
      <w:r w:rsidRPr="00600591">
        <w:rPr>
          <w:rFonts w:ascii="Times New Roman" w:hAnsi="Times New Roman" w:cs="Times New Roman"/>
          <w:sz w:val="26"/>
          <w:szCs w:val="26"/>
        </w:rPr>
        <w:t>е Министерството на труда и социалната политика предоставя отговори на най-често задаваните от гражданите въпроси:</w:t>
      </w:r>
    </w:p>
    <w:p w:rsidR="00944443" w:rsidRPr="00600591" w:rsidRDefault="00944443" w:rsidP="0069723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591">
        <w:rPr>
          <w:rFonts w:ascii="Times New Roman" w:hAnsi="Times New Roman" w:cs="Times New Roman"/>
          <w:b/>
          <w:sz w:val="26"/>
          <w:szCs w:val="26"/>
        </w:rPr>
        <w:t>Кои пенсии ще бъдат преизчислени?</w:t>
      </w:r>
    </w:p>
    <w:p w:rsidR="00944443" w:rsidRPr="00600591" w:rsidRDefault="00944443" w:rsidP="006972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91">
        <w:rPr>
          <w:rFonts w:ascii="Times New Roman" w:hAnsi="Times New Roman" w:cs="Times New Roman"/>
          <w:sz w:val="26"/>
          <w:szCs w:val="26"/>
        </w:rPr>
        <w:t>От 1 октомври ще бъдат преизчислени отпуснатите до края на 2021 г. трудови пенсии. Това са пенсиите за осигурителен стаж и възраст, за инвалидност поради общо заболяване, за инвалидност поради трудова злополука и професионална болест</w:t>
      </w:r>
      <w:r w:rsidR="00832D82">
        <w:rPr>
          <w:rFonts w:ascii="Times New Roman" w:hAnsi="Times New Roman" w:cs="Times New Roman"/>
          <w:sz w:val="26"/>
          <w:szCs w:val="26"/>
        </w:rPr>
        <w:t xml:space="preserve"> и наследствени пенсии, изчислени от тях</w:t>
      </w:r>
      <w:r w:rsidRPr="00600591">
        <w:rPr>
          <w:rFonts w:ascii="Times New Roman" w:hAnsi="Times New Roman" w:cs="Times New Roman"/>
          <w:sz w:val="26"/>
          <w:szCs w:val="26"/>
        </w:rPr>
        <w:t>. В тази категория влизат и пенсиите за военна и за граж</w:t>
      </w:r>
      <w:r w:rsidR="00DA04BA" w:rsidRPr="00600591">
        <w:rPr>
          <w:rFonts w:ascii="Times New Roman" w:hAnsi="Times New Roman" w:cs="Times New Roman"/>
          <w:sz w:val="26"/>
          <w:szCs w:val="26"/>
        </w:rPr>
        <w:t xml:space="preserve">данска инвалидност, ако размерът им, като по-благоприятен, е определен като за пенсия за трудова злополука и </w:t>
      </w:r>
      <w:r w:rsidR="00DA04BA" w:rsidRPr="00600591">
        <w:rPr>
          <w:rFonts w:ascii="Times New Roman" w:hAnsi="Times New Roman" w:cs="Times New Roman"/>
          <w:sz w:val="26"/>
          <w:szCs w:val="26"/>
        </w:rPr>
        <w:lastRenderedPageBreak/>
        <w:t>професионална болест (лични и наследствени), както и вдовишки</w:t>
      </w:r>
      <w:r w:rsidR="00832D82">
        <w:rPr>
          <w:rFonts w:ascii="Times New Roman" w:hAnsi="Times New Roman" w:cs="Times New Roman"/>
          <w:sz w:val="26"/>
          <w:szCs w:val="26"/>
        </w:rPr>
        <w:t>те</w:t>
      </w:r>
      <w:r w:rsidR="00DA04BA" w:rsidRPr="00600591">
        <w:rPr>
          <w:rFonts w:ascii="Times New Roman" w:hAnsi="Times New Roman" w:cs="Times New Roman"/>
          <w:sz w:val="26"/>
          <w:szCs w:val="26"/>
        </w:rPr>
        <w:t xml:space="preserve"> добавки</w:t>
      </w:r>
      <w:r w:rsidR="00832D82">
        <w:rPr>
          <w:rFonts w:ascii="Times New Roman" w:hAnsi="Times New Roman" w:cs="Times New Roman"/>
          <w:sz w:val="26"/>
          <w:szCs w:val="26"/>
        </w:rPr>
        <w:t>, изчислени от пенсии за трудова дейност</w:t>
      </w:r>
      <w:r w:rsidR="00DA04BA" w:rsidRPr="006005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04BA" w:rsidRPr="00600591" w:rsidRDefault="00DA04BA" w:rsidP="0069723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591">
        <w:rPr>
          <w:rFonts w:ascii="Times New Roman" w:hAnsi="Times New Roman" w:cs="Times New Roman"/>
          <w:b/>
          <w:sz w:val="26"/>
          <w:szCs w:val="26"/>
        </w:rPr>
        <w:t>Кои пенсии няма да бъдат преизчислени?</w:t>
      </w:r>
    </w:p>
    <w:p w:rsidR="00DA04BA" w:rsidRDefault="00DA04BA" w:rsidP="00715D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91">
        <w:rPr>
          <w:rFonts w:ascii="Times New Roman" w:hAnsi="Times New Roman" w:cs="Times New Roman"/>
          <w:sz w:val="26"/>
          <w:szCs w:val="26"/>
        </w:rPr>
        <w:t>На преизчисляване не подлежат пенсиите за трудова дейност, отпуснати след 31 декември 2021 г., както и пенсиите, които не са свързани с трудова дейност. Това са социалните пенсии за старост</w:t>
      </w:r>
      <w:r w:rsidR="00EB3370" w:rsidRPr="00600591">
        <w:rPr>
          <w:rFonts w:ascii="Times New Roman" w:hAnsi="Times New Roman" w:cs="Times New Roman"/>
          <w:sz w:val="26"/>
          <w:szCs w:val="26"/>
        </w:rPr>
        <w:t>, социални</w:t>
      </w:r>
      <w:r w:rsidR="00832D82">
        <w:rPr>
          <w:rFonts w:ascii="Times New Roman" w:hAnsi="Times New Roman" w:cs="Times New Roman"/>
          <w:sz w:val="26"/>
          <w:szCs w:val="26"/>
        </w:rPr>
        <w:t>те</w:t>
      </w:r>
      <w:r w:rsidR="00EB3370" w:rsidRPr="00600591">
        <w:rPr>
          <w:rFonts w:ascii="Times New Roman" w:hAnsi="Times New Roman" w:cs="Times New Roman"/>
          <w:sz w:val="26"/>
          <w:szCs w:val="26"/>
        </w:rPr>
        <w:t xml:space="preserve"> пенсии</w:t>
      </w:r>
      <w:r w:rsidRPr="00600591">
        <w:rPr>
          <w:rFonts w:ascii="Times New Roman" w:hAnsi="Times New Roman" w:cs="Times New Roman"/>
          <w:sz w:val="26"/>
          <w:szCs w:val="26"/>
        </w:rPr>
        <w:t xml:space="preserve"> за инвалидност, персоналните пенсии</w:t>
      </w:r>
      <w:r w:rsidR="00832D82">
        <w:rPr>
          <w:rFonts w:ascii="Times New Roman" w:hAnsi="Times New Roman" w:cs="Times New Roman"/>
          <w:sz w:val="26"/>
          <w:szCs w:val="26"/>
        </w:rPr>
        <w:t>, както и пенсиите за военна и гражданска инвалидност, изчислени в процент от социалната пенсия за старост</w:t>
      </w:r>
      <w:r w:rsidRPr="00600591">
        <w:rPr>
          <w:rFonts w:ascii="Times New Roman" w:hAnsi="Times New Roman" w:cs="Times New Roman"/>
          <w:sz w:val="26"/>
          <w:szCs w:val="26"/>
        </w:rPr>
        <w:t>.</w:t>
      </w:r>
    </w:p>
    <w:p w:rsidR="00697231" w:rsidRPr="00600591" w:rsidRDefault="00697231" w:rsidP="003E32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04BA" w:rsidRPr="00600591" w:rsidRDefault="00B23CC9" w:rsidP="0069723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591">
        <w:rPr>
          <w:rFonts w:ascii="Times New Roman" w:hAnsi="Times New Roman" w:cs="Times New Roman"/>
          <w:b/>
          <w:sz w:val="26"/>
          <w:szCs w:val="26"/>
        </w:rPr>
        <w:t>Как ще стане преизчислението?</w:t>
      </w:r>
    </w:p>
    <w:p w:rsidR="00855248" w:rsidRPr="00600591" w:rsidRDefault="00B23CC9" w:rsidP="006972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91">
        <w:rPr>
          <w:rFonts w:ascii="Times New Roman" w:hAnsi="Times New Roman" w:cs="Times New Roman"/>
          <w:sz w:val="26"/>
          <w:szCs w:val="26"/>
        </w:rPr>
        <w:t>Първата стъпка е да се определи базовия</w:t>
      </w:r>
      <w:r w:rsidR="00855248" w:rsidRPr="00600591">
        <w:rPr>
          <w:rFonts w:ascii="Times New Roman" w:hAnsi="Times New Roman" w:cs="Times New Roman"/>
          <w:sz w:val="26"/>
          <w:szCs w:val="26"/>
        </w:rPr>
        <w:t>т</w:t>
      </w:r>
      <w:r w:rsidRPr="00600591">
        <w:rPr>
          <w:rFonts w:ascii="Times New Roman" w:hAnsi="Times New Roman" w:cs="Times New Roman"/>
          <w:sz w:val="26"/>
          <w:szCs w:val="26"/>
        </w:rPr>
        <w:t xml:space="preserve"> размер на пенсията към годината на отпускането й. </w:t>
      </w:r>
      <w:r w:rsidR="00855248" w:rsidRPr="00600591">
        <w:rPr>
          <w:rFonts w:ascii="Times New Roman" w:hAnsi="Times New Roman" w:cs="Times New Roman"/>
          <w:sz w:val="26"/>
          <w:szCs w:val="26"/>
        </w:rPr>
        <w:t>Той ще се определи от средномесечния осигурителен доход за страната, с който е отпусната пенсията, индивидуалния коефициент на пенсионера към 30 септември 2022 г. и продължителността на осигурителния му стаж към същата дата, умножена със съответния процент за годините и за месеците осигурителен стаж, който е определен съобразно действащото законодателство към датата на отпускане на пенсията.  За пенсиите, отпуснати до края на 2007 г. се взема предвид средномесечният осигурителен доход за страната същата година – 398,17 лв.</w:t>
      </w:r>
    </w:p>
    <w:p w:rsidR="00F77AE9" w:rsidRPr="00600591" w:rsidRDefault="00FF32A4" w:rsidP="006972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91">
        <w:rPr>
          <w:rFonts w:ascii="Times New Roman" w:hAnsi="Times New Roman" w:cs="Times New Roman"/>
          <w:sz w:val="26"/>
          <w:szCs w:val="26"/>
        </w:rPr>
        <w:t>Б</w:t>
      </w:r>
      <w:r w:rsidR="00855248" w:rsidRPr="00600591">
        <w:rPr>
          <w:rFonts w:ascii="Times New Roman" w:hAnsi="Times New Roman" w:cs="Times New Roman"/>
          <w:sz w:val="26"/>
          <w:szCs w:val="26"/>
        </w:rPr>
        <w:t>азовия</w:t>
      </w:r>
      <w:r w:rsidRPr="00600591">
        <w:rPr>
          <w:rFonts w:ascii="Times New Roman" w:hAnsi="Times New Roman" w:cs="Times New Roman"/>
          <w:sz w:val="26"/>
          <w:szCs w:val="26"/>
        </w:rPr>
        <w:t>т</w:t>
      </w:r>
      <w:r w:rsidR="00855248" w:rsidRPr="00600591">
        <w:rPr>
          <w:rFonts w:ascii="Times New Roman" w:hAnsi="Times New Roman" w:cs="Times New Roman"/>
          <w:sz w:val="26"/>
          <w:szCs w:val="26"/>
        </w:rPr>
        <w:t xml:space="preserve"> размер на пенсията</w:t>
      </w:r>
      <w:r w:rsidRPr="00600591">
        <w:rPr>
          <w:rFonts w:ascii="Times New Roman" w:hAnsi="Times New Roman" w:cs="Times New Roman"/>
          <w:sz w:val="26"/>
          <w:szCs w:val="26"/>
        </w:rPr>
        <w:t xml:space="preserve"> към годината на отпускането ще бъде увеличен за всяка следваща календарна година с </w:t>
      </w:r>
      <w:r w:rsidR="00855248" w:rsidRPr="00600591">
        <w:rPr>
          <w:rFonts w:ascii="Times New Roman" w:hAnsi="Times New Roman" w:cs="Times New Roman"/>
          <w:sz w:val="26"/>
          <w:szCs w:val="26"/>
        </w:rPr>
        <w:t xml:space="preserve"> </w:t>
      </w:r>
      <w:r w:rsidRPr="00600591">
        <w:rPr>
          <w:rFonts w:ascii="Times New Roman" w:hAnsi="Times New Roman" w:cs="Times New Roman"/>
          <w:sz w:val="26"/>
          <w:szCs w:val="26"/>
        </w:rPr>
        <w:t>процент, който е равен на по-високия от процента на нарастване на средномесечния осигурителен доход за страната или процента на нарастване на хармонизирания индекс на потребителските цени през предходната година.</w:t>
      </w:r>
      <w:r w:rsidR="003E3222" w:rsidRPr="00600591">
        <w:rPr>
          <w:rFonts w:ascii="Times New Roman" w:hAnsi="Times New Roman" w:cs="Times New Roman"/>
          <w:sz w:val="26"/>
          <w:szCs w:val="26"/>
        </w:rPr>
        <w:t xml:space="preserve"> За пенсиите, отпуснати преди 31 декември 2007 г., размерът се увеличава с процентите за всяка календарна година след тази дата.</w:t>
      </w:r>
      <w:r w:rsidR="001368C9" w:rsidRPr="00600591">
        <w:rPr>
          <w:rFonts w:ascii="Times New Roman" w:hAnsi="Times New Roman" w:cs="Times New Roman"/>
          <w:sz w:val="26"/>
          <w:szCs w:val="26"/>
        </w:rPr>
        <w:t xml:space="preserve"> Когато преизчисленият размер на пенсията по описания по-горе начин и размерът ѝ към 30 септември 2022 г. не са равни, пенсията се определя в по-високия размер.</w:t>
      </w:r>
    </w:p>
    <w:p w:rsidR="00957300" w:rsidRPr="00600591" w:rsidRDefault="004B4547" w:rsidP="0069723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00591">
        <w:rPr>
          <w:rFonts w:ascii="Times New Roman" w:hAnsi="Times New Roman" w:cs="Times New Roman"/>
          <w:sz w:val="26"/>
          <w:szCs w:val="26"/>
        </w:rPr>
        <w:t>Процентите, с които се умножава определения</w:t>
      </w:r>
      <w:r w:rsidR="00832D82">
        <w:rPr>
          <w:rFonts w:ascii="Times New Roman" w:hAnsi="Times New Roman" w:cs="Times New Roman"/>
          <w:sz w:val="26"/>
          <w:szCs w:val="26"/>
        </w:rPr>
        <w:t>т</w:t>
      </w:r>
      <w:r w:rsidRPr="00600591">
        <w:rPr>
          <w:rFonts w:ascii="Times New Roman" w:hAnsi="Times New Roman" w:cs="Times New Roman"/>
          <w:sz w:val="26"/>
          <w:szCs w:val="26"/>
        </w:rPr>
        <w:t xml:space="preserve"> базов размер на пенсията за съответната година са посочени по-долу:</w:t>
      </w:r>
      <w:r w:rsidRPr="006005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57300" w:rsidRPr="00600591" w:rsidRDefault="00B5353C" w:rsidP="00B5353C">
      <w:pPr>
        <w:ind w:left="708"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00591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4330460" cy="313545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322" cy="314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059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0059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329021" cy="724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303" cy="77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8C9" w:rsidRPr="00600591" w:rsidRDefault="001368C9" w:rsidP="00D749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2D82" w:rsidRDefault="00D74939" w:rsidP="006005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91">
        <w:rPr>
          <w:rFonts w:ascii="Times New Roman" w:hAnsi="Times New Roman" w:cs="Times New Roman"/>
          <w:sz w:val="26"/>
          <w:szCs w:val="26"/>
        </w:rPr>
        <w:t>Министерството на труда и социалната политика припомня, че преизчисл</w:t>
      </w:r>
      <w:r w:rsidR="00832D82">
        <w:rPr>
          <w:rFonts w:ascii="Times New Roman" w:hAnsi="Times New Roman" w:cs="Times New Roman"/>
          <w:sz w:val="26"/>
          <w:szCs w:val="26"/>
        </w:rPr>
        <w:t xml:space="preserve">яването </w:t>
      </w:r>
      <w:r w:rsidRPr="00600591">
        <w:rPr>
          <w:rFonts w:ascii="Times New Roman" w:hAnsi="Times New Roman" w:cs="Times New Roman"/>
          <w:sz w:val="26"/>
          <w:szCs w:val="26"/>
        </w:rPr>
        <w:t xml:space="preserve">на трудовите пенсии от 1 октомври </w:t>
      </w:r>
      <w:r w:rsidR="00832D82">
        <w:rPr>
          <w:rFonts w:ascii="Times New Roman" w:hAnsi="Times New Roman" w:cs="Times New Roman"/>
          <w:sz w:val="26"/>
          <w:szCs w:val="26"/>
        </w:rPr>
        <w:t xml:space="preserve">е </w:t>
      </w:r>
      <w:r w:rsidRPr="00600591">
        <w:rPr>
          <w:rFonts w:ascii="Times New Roman" w:hAnsi="Times New Roman" w:cs="Times New Roman"/>
          <w:sz w:val="26"/>
          <w:szCs w:val="26"/>
        </w:rPr>
        <w:t xml:space="preserve">третото </w:t>
      </w:r>
      <w:r w:rsidR="00832D82">
        <w:rPr>
          <w:rFonts w:ascii="Times New Roman" w:hAnsi="Times New Roman" w:cs="Times New Roman"/>
          <w:sz w:val="26"/>
          <w:szCs w:val="26"/>
        </w:rPr>
        <w:t xml:space="preserve">актуализиране </w:t>
      </w:r>
      <w:r w:rsidRPr="00600591">
        <w:rPr>
          <w:rFonts w:ascii="Times New Roman" w:hAnsi="Times New Roman" w:cs="Times New Roman"/>
          <w:sz w:val="26"/>
          <w:szCs w:val="26"/>
        </w:rPr>
        <w:t xml:space="preserve">на пенсиите за последните по-малко от 10 месеца. </w:t>
      </w:r>
    </w:p>
    <w:p w:rsidR="00832D82" w:rsidRDefault="00832D82" w:rsidP="006972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91">
        <w:rPr>
          <w:rFonts w:ascii="Times New Roman" w:hAnsi="Times New Roman" w:cs="Times New Roman"/>
          <w:sz w:val="26"/>
          <w:szCs w:val="26"/>
        </w:rPr>
        <w:t xml:space="preserve">От 25 декември 2021 г. </w:t>
      </w:r>
      <w:r>
        <w:rPr>
          <w:rFonts w:ascii="Times New Roman" w:hAnsi="Times New Roman" w:cs="Times New Roman"/>
          <w:sz w:val="26"/>
          <w:szCs w:val="26"/>
        </w:rPr>
        <w:t xml:space="preserve">всички пенсии, отпуснати преди тази дата, бяха </w:t>
      </w:r>
      <w:r w:rsidRPr="00600591">
        <w:rPr>
          <w:rFonts w:ascii="Times New Roman" w:hAnsi="Times New Roman" w:cs="Times New Roman"/>
          <w:sz w:val="26"/>
          <w:szCs w:val="26"/>
        </w:rPr>
        <w:t xml:space="preserve">преизчислени чрез повишаване на тежестта на всяка година осигурителен </w:t>
      </w:r>
      <w:r w:rsidR="00E73B73">
        <w:rPr>
          <w:rFonts w:ascii="Times New Roman" w:hAnsi="Times New Roman" w:cs="Times New Roman"/>
          <w:sz w:val="26"/>
          <w:szCs w:val="26"/>
        </w:rPr>
        <w:t xml:space="preserve">стаж без превръщане </w:t>
      </w:r>
      <w:r w:rsidRPr="00600591">
        <w:rPr>
          <w:rFonts w:ascii="Times New Roman" w:hAnsi="Times New Roman" w:cs="Times New Roman"/>
          <w:sz w:val="26"/>
          <w:szCs w:val="26"/>
        </w:rPr>
        <w:t>от 1,2 на 1,35%. Това доведе до средно нарастване на пенсиите с около 12%.</w:t>
      </w:r>
    </w:p>
    <w:p w:rsidR="00697231" w:rsidRDefault="00697231" w:rsidP="006972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7231">
        <w:rPr>
          <w:rFonts w:ascii="Times New Roman" w:hAnsi="Times New Roman" w:cs="Times New Roman"/>
          <w:sz w:val="26"/>
          <w:szCs w:val="26"/>
        </w:rPr>
        <w:t xml:space="preserve">От 1 юли </w:t>
      </w:r>
      <w:r>
        <w:rPr>
          <w:rFonts w:ascii="Times New Roman" w:hAnsi="Times New Roman" w:cs="Times New Roman"/>
          <w:sz w:val="26"/>
          <w:szCs w:val="26"/>
        </w:rPr>
        <w:t xml:space="preserve">2022 г. </w:t>
      </w:r>
      <w:r w:rsidRPr="00697231">
        <w:rPr>
          <w:rFonts w:ascii="Times New Roman" w:hAnsi="Times New Roman" w:cs="Times New Roman"/>
          <w:sz w:val="26"/>
          <w:szCs w:val="26"/>
        </w:rPr>
        <w:t>пенсиите за трудова дейност, отпуснати до 31 декември 2021 г., бяха увеличени с 10% - с 3,9 пункта повече, отколкото би следвало да бъдат увеличени, ако процентът бе изчислен при прилагане на правилото на чл. 100 от Кодекса за социално осигуряване (6,1 на сто). От същата дата в размера на пенсиите бяха включени т. нар. ковид добавка от 60 лв. и изплащаните индивидуални компенсации за разликата между изплащаните от НОИ суми за декември 2021 г. и тези за януари 2022 г. По сходен начин беше повишен и размерът на социалната пенсия за старост, което доведе до увеличаване на всички пенсии, несвързани с трудова дейност. Ковид добавката от 60 лв. беше включена и в размер</w:t>
      </w:r>
      <w:r w:rsidR="00E73B73">
        <w:rPr>
          <w:rFonts w:ascii="Times New Roman" w:hAnsi="Times New Roman" w:cs="Times New Roman"/>
          <w:sz w:val="26"/>
          <w:szCs w:val="26"/>
        </w:rPr>
        <w:t>а</w:t>
      </w:r>
      <w:r w:rsidRPr="00697231">
        <w:rPr>
          <w:rFonts w:ascii="Times New Roman" w:hAnsi="Times New Roman" w:cs="Times New Roman"/>
          <w:sz w:val="26"/>
          <w:szCs w:val="26"/>
        </w:rPr>
        <w:t xml:space="preserve"> на трудовите пенсии, отпуснати между 1 януари и 30 юни 2022 г.  Същата сума се добавя и към всички пенсии, отпуснати след 1 юли 2022 г.</w:t>
      </w:r>
    </w:p>
    <w:p w:rsidR="00832D82" w:rsidRPr="00600591" w:rsidRDefault="00832D82" w:rsidP="00832D8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0591">
        <w:rPr>
          <w:rFonts w:ascii="Times New Roman" w:hAnsi="Times New Roman" w:cs="Times New Roman"/>
          <w:b/>
          <w:bCs/>
          <w:sz w:val="26"/>
          <w:szCs w:val="26"/>
        </w:rPr>
        <w:t>Увеличения на нормативно определените размери на пенсиите: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557"/>
        <w:gridCol w:w="1383"/>
        <w:gridCol w:w="1445"/>
        <w:gridCol w:w="1242"/>
        <w:gridCol w:w="1278"/>
      </w:tblGrid>
      <w:tr w:rsidR="00832D82" w:rsidRPr="00600591" w:rsidTr="00457977">
        <w:trPr>
          <w:cantSplit/>
          <w:trHeight w:val="1550"/>
        </w:trPr>
        <w:tc>
          <w:tcPr>
            <w:tcW w:w="2270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Вид пенсия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Към 25.12.2021г.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25.12.21 г. до 1.07.2022 г.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1.07.2022 г. до 1.10.2022 г.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1.10.2022 г. до 31.12.2022 г.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Ръст за периода</w:t>
            </w:r>
          </w:p>
        </w:tc>
      </w:tr>
      <w:tr w:rsidR="00832D82" w:rsidRPr="00600591" w:rsidTr="00457977">
        <w:trPr>
          <w:trHeight w:val="620"/>
        </w:trPr>
        <w:tc>
          <w:tcPr>
            <w:tcW w:w="2270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1. Минимален размер на пенсията за осигурителен стаж и възраст по чл. 68, ал. 1 от КСО (лв.)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370,00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467,00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467,00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55,7%</w:t>
            </w:r>
          </w:p>
        </w:tc>
      </w:tr>
      <w:tr w:rsidR="00832D82" w:rsidRPr="00600591" w:rsidTr="00457977">
        <w:trPr>
          <w:trHeight w:val="310"/>
        </w:trPr>
        <w:tc>
          <w:tcPr>
            <w:tcW w:w="2270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2. Размер на социалната пенсия за старост (лв.)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148,71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170,00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247,00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247,00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66,1%</w:t>
            </w:r>
          </w:p>
        </w:tc>
      </w:tr>
      <w:tr w:rsidR="00832D82" w:rsidRPr="00600591" w:rsidTr="00457977">
        <w:trPr>
          <w:trHeight w:val="310"/>
        </w:trPr>
        <w:tc>
          <w:tcPr>
            <w:tcW w:w="2270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3. Размер на социалната пенсия за инвалидност (лв.), в т.ч.*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32D82" w:rsidRPr="00600591" w:rsidTr="00457977">
        <w:trPr>
          <w:trHeight w:val="620"/>
        </w:trPr>
        <w:tc>
          <w:tcPr>
            <w:tcW w:w="2270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лица с ТНР/ВСУ 100 на сто с определена необходимост от чужда помощ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200,76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272,00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395,20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395,20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96,9%</w:t>
            </w:r>
          </w:p>
        </w:tc>
      </w:tr>
      <w:tr w:rsidR="00832D82" w:rsidRPr="00600591" w:rsidTr="00457977">
        <w:trPr>
          <w:trHeight w:val="310"/>
        </w:trPr>
        <w:tc>
          <w:tcPr>
            <w:tcW w:w="2270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лица с ТНР/ВСУ над 90 на сто до 100 на сто, вкл.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200,76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238,00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345,80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345,80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72,2%</w:t>
            </w:r>
          </w:p>
        </w:tc>
      </w:tr>
      <w:tr w:rsidR="00832D82" w:rsidRPr="00600591" w:rsidTr="00457977">
        <w:trPr>
          <w:trHeight w:val="310"/>
        </w:trPr>
        <w:tc>
          <w:tcPr>
            <w:tcW w:w="2270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лица с ТНР/ВСУ от 71 на сто до 90 на сто, вкл.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185,89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221,00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321,10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321,10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72,7%</w:t>
            </w:r>
          </w:p>
        </w:tc>
      </w:tr>
      <w:tr w:rsidR="00832D82" w:rsidRPr="00600591" w:rsidTr="00457977">
        <w:trPr>
          <w:trHeight w:val="620"/>
        </w:trPr>
        <w:tc>
          <w:tcPr>
            <w:tcW w:w="2270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Максимален размер на получаваните една или повече пенсии (лв.)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1440,00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1500,00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2000,00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sz w:val="26"/>
                <w:szCs w:val="26"/>
              </w:rPr>
              <w:t>3400,00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32D82" w:rsidRPr="00600591" w:rsidRDefault="00832D82" w:rsidP="0045797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0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136,1%</w:t>
            </w:r>
          </w:p>
        </w:tc>
      </w:tr>
    </w:tbl>
    <w:p w:rsidR="00832D82" w:rsidRPr="00600591" w:rsidRDefault="00832D82" w:rsidP="00832D82">
      <w:pPr>
        <w:jc w:val="both"/>
        <w:rPr>
          <w:rFonts w:ascii="Times New Roman" w:hAnsi="Times New Roman" w:cs="Times New Roman"/>
          <w:sz w:val="26"/>
          <w:szCs w:val="26"/>
        </w:rPr>
      </w:pPr>
      <w:r w:rsidRPr="00600591">
        <w:rPr>
          <w:rFonts w:ascii="Times New Roman" w:hAnsi="Times New Roman" w:cs="Times New Roman"/>
          <w:sz w:val="26"/>
          <w:szCs w:val="26"/>
        </w:rPr>
        <w:t xml:space="preserve">* </w:t>
      </w:r>
      <w:r w:rsidRPr="00600591">
        <w:rPr>
          <w:rFonts w:ascii="Times New Roman" w:hAnsi="Times New Roman" w:cs="Times New Roman"/>
          <w:b/>
          <w:bCs/>
          <w:sz w:val="26"/>
          <w:szCs w:val="26"/>
        </w:rPr>
        <w:t>ТНР/ВСУ</w:t>
      </w:r>
      <w:r w:rsidRPr="00600591">
        <w:rPr>
          <w:rFonts w:ascii="Times New Roman" w:hAnsi="Times New Roman" w:cs="Times New Roman"/>
          <w:sz w:val="26"/>
          <w:szCs w:val="26"/>
        </w:rPr>
        <w:t xml:space="preserve"> – трайно намалена работоспособност/ вид и степен на увреждане. Групите за определяне размера на социалната пенсия за инвалидност в този си вид са въведени от 1 април 2022 г. Дотогава имаше две групи: лица с ТНР/ВСУ от 71 до 90 на сто с размер на пенсията 135 на сто от размера на социалната пенсия за </w:t>
      </w:r>
      <w:r w:rsidRPr="00600591">
        <w:rPr>
          <w:rFonts w:ascii="Times New Roman" w:hAnsi="Times New Roman" w:cs="Times New Roman"/>
          <w:sz w:val="26"/>
          <w:szCs w:val="26"/>
        </w:rPr>
        <w:lastRenderedPageBreak/>
        <w:t>старост и лица с ТНР/ВСУ над 90 на сто с размер на пенсията 125 на сто от размера на социалната пенсия за старост.</w:t>
      </w:r>
    </w:p>
    <w:sectPr w:rsidR="00832D82" w:rsidRPr="006005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58" w:rsidRDefault="00395558" w:rsidP="00600591">
      <w:pPr>
        <w:spacing w:after="0" w:line="240" w:lineRule="auto"/>
      </w:pPr>
      <w:r>
        <w:separator/>
      </w:r>
    </w:p>
  </w:endnote>
  <w:endnote w:type="continuationSeparator" w:id="0">
    <w:p w:rsidR="00395558" w:rsidRDefault="00395558" w:rsidP="0060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101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591" w:rsidRDefault="006005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C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0591" w:rsidRDefault="00600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58" w:rsidRDefault="00395558" w:rsidP="00600591">
      <w:pPr>
        <w:spacing w:after="0" w:line="240" w:lineRule="auto"/>
      </w:pPr>
      <w:r>
        <w:separator/>
      </w:r>
    </w:p>
  </w:footnote>
  <w:footnote w:type="continuationSeparator" w:id="0">
    <w:p w:rsidR="00395558" w:rsidRDefault="00395558" w:rsidP="0060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339E8"/>
    <w:multiLevelType w:val="hybridMultilevel"/>
    <w:tmpl w:val="90300520"/>
    <w:lvl w:ilvl="0" w:tplc="5B6CBE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E9"/>
    <w:rsid w:val="00064F6C"/>
    <w:rsid w:val="000818C4"/>
    <w:rsid w:val="001368C9"/>
    <w:rsid w:val="001D4CDC"/>
    <w:rsid w:val="0029572F"/>
    <w:rsid w:val="0034161A"/>
    <w:rsid w:val="00395558"/>
    <w:rsid w:val="003E3222"/>
    <w:rsid w:val="004B4547"/>
    <w:rsid w:val="004E353F"/>
    <w:rsid w:val="00600591"/>
    <w:rsid w:val="00697231"/>
    <w:rsid w:val="00715D14"/>
    <w:rsid w:val="008162AF"/>
    <w:rsid w:val="00832D82"/>
    <w:rsid w:val="00855248"/>
    <w:rsid w:val="00944443"/>
    <w:rsid w:val="00957300"/>
    <w:rsid w:val="00AA1CE6"/>
    <w:rsid w:val="00B23CC9"/>
    <w:rsid w:val="00B52AB3"/>
    <w:rsid w:val="00B5353C"/>
    <w:rsid w:val="00B80C77"/>
    <w:rsid w:val="00D74939"/>
    <w:rsid w:val="00D835FD"/>
    <w:rsid w:val="00DA04BA"/>
    <w:rsid w:val="00E73B73"/>
    <w:rsid w:val="00EB3370"/>
    <w:rsid w:val="00EF1547"/>
    <w:rsid w:val="00F77AE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23EE"/>
  <w15:chartTrackingRefBased/>
  <w15:docId w15:val="{CB5623E4-CFE4-466A-B650-562913FA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591"/>
  </w:style>
  <w:style w:type="paragraph" w:styleId="Footer">
    <w:name w:val="footer"/>
    <w:basedOn w:val="Normal"/>
    <w:link w:val="FooterChar"/>
    <w:uiPriority w:val="99"/>
    <w:unhideWhenUsed/>
    <w:rsid w:val="0060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591"/>
  </w:style>
  <w:style w:type="paragraph" w:styleId="BalloonText">
    <w:name w:val="Balloon Text"/>
    <w:basedOn w:val="Normal"/>
    <w:link w:val="BalloonTextChar"/>
    <w:uiPriority w:val="99"/>
    <w:semiHidden/>
    <w:unhideWhenUsed/>
    <w:rsid w:val="0060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press@mlsp.government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 Gutsuzyan</dc:creator>
  <cp:keywords/>
  <dc:description/>
  <cp:lastModifiedBy>Verginiya Vlasakieva</cp:lastModifiedBy>
  <cp:revision>2</cp:revision>
  <cp:lastPrinted>2022-09-30T08:35:00Z</cp:lastPrinted>
  <dcterms:created xsi:type="dcterms:W3CDTF">2022-09-30T11:10:00Z</dcterms:created>
  <dcterms:modified xsi:type="dcterms:W3CDTF">2022-09-30T11:10:00Z</dcterms:modified>
</cp:coreProperties>
</file>