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29F8" w14:textId="5EDB3B08" w:rsidR="00132F59" w:rsidRPr="00132F59" w:rsidRDefault="00132F59" w:rsidP="004A5F37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1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>ИНДЕКСИ НА СТРОИТЕЛНАТА ПРОДУКЦИЯ ПРЕЗ МАРТ 2024 ГОДИНА</w:t>
      </w:r>
    </w:p>
    <w:p w14:paraId="618EEE1A" w14:textId="61DD1010" w:rsidR="00132F59" w:rsidRPr="00132F59" w:rsidRDefault="00132F59" w:rsidP="00E4627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март 2024 г. индексът на продукцията в сектор „Строителство“ се повишава с </w:t>
      </w:r>
      <w:r w:rsidRPr="00132F59">
        <w:rPr>
          <w:rFonts w:ascii="Verdana" w:hAnsi="Verdana"/>
          <w:sz w:val="20"/>
          <w:szCs w:val="20"/>
          <w:lang w:val="en-US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Pr="00132F59">
        <w:rPr>
          <w:rFonts w:ascii="Verdana" w:hAnsi="Verdana"/>
          <w:sz w:val="20"/>
          <w:szCs w:val="20"/>
          <w:lang w:val="en-US"/>
        </w:rPr>
        <w:t>3</w:t>
      </w:r>
      <w:r w:rsidR="007D3F35"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1F4D6DFC" w14:textId="0D58F6D3" w:rsidR="00C83562" w:rsidRDefault="00132F59" w:rsidP="004A5F37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Календарно изгладените данни показват увеличение с </w:t>
      </w:r>
      <w:r w:rsidRPr="00132F59">
        <w:rPr>
          <w:rFonts w:ascii="Verdana" w:hAnsi="Verdana"/>
          <w:sz w:val="20"/>
          <w:szCs w:val="20"/>
          <w:lang w:val="en-US"/>
        </w:rPr>
        <w:t>3</w:t>
      </w:r>
      <w:r w:rsidRPr="00132F59">
        <w:rPr>
          <w:rFonts w:ascii="Verdana" w:hAnsi="Verdana"/>
          <w:sz w:val="20"/>
          <w:szCs w:val="20"/>
        </w:rPr>
        <w:t>.</w:t>
      </w:r>
      <w:r w:rsidRPr="00132F59">
        <w:rPr>
          <w:rFonts w:ascii="Verdana" w:hAnsi="Verdana"/>
          <w:sz w:val="20"/>
          <w:szCs w:val="20"/>
          <w:lang w:val="en-US"/>
        </w:rPr>
        <w:t>7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2023 година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4611C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1CE01302" w14:textId="77777777" w:rsidR="00BF4FE7" w:rsidRDefault="00132F59" w:rsidP="00764CF3">
      <w:pPr>
        <w:tabs>
          <w:tab w:val="left" w:pos="142"/>
          <w:tab w:val="left" w:pos="2268"/>
          <w:tab w:val="left" w:pos="5460"/>
          <w:tab w:val="left" w:pos="10348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 w:rsidR="00901DF2">
        <w:rPr>
          <w:rFonts w:ascii="Verdana" w:hAnsi="Verdana"/>
          <w:b/>
          <w:sz w:val="20"/>
          <w:szCs w:val="20"/>
        </w:rPr>
        <w:t>на строителната продукция (2015</w:t>
      </w:r>
      <w:r w:rsidRPr="00132F59">
        <w:rPr>
          <w:rFonts w:ascii="Verdana" w:hAnsi="Verdana"/>
          <w:b/>
          <w:sz w:val="20"/>
          <w:szCs w:val="20"/>
        </w:rPr>
        <w:t xml:space="preserve">=100) </w:t>
      </w:r>
    </w:p>
    <w:p w14:paraId="78811E42" w14:textId="4339D653" w:rsidR="00132F59" w:rsidRPr="00132F59" w:rsidRDefault="00764CF3" w:rsidP="00764CF3">
      <w:pPr>
        <w:tabs>
          <w:tab w:val="left" w:pos="142"/>
          <w:tab w:val="left" w:pos="2268"/>
          <w:tab w:val="left" w:pos="5460"/>
          <w:tab w:val="left" w:pos="10348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11AD6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294.9pt">
            <v:imagedata r:id="rId7" o:title=""/>
          </v:shape>
        </w:pict>
      </w:r>
    </w:p>
    <w:p w14:paraId="743478FC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2DF7C2B4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598F040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7D536B6D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61A0D7A8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5499A6F3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74D10A62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C72AF48" w14:textId="05867DB0" w:rsidR="00132F59" w:rsidRPr="00132F59" w:rsidRDefault="00132F59" w:rsidP="001F7DD1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26BB26D0" w14:textId="054D8A2D" w:rsidR="00132F59" w:rsidRDefault="00132F59" w:rsidP="004A5F37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март 2024 г. е отчетено увеличение спрямо предходния месец при продукцията от специализирани строителни дейности - с </w:t>
      </w:r>
      <w:r w:rsidRPr="00132F59">
        <w:rPr>
          <w:rFonts w:ascii="Verdana" w:hAnsi="Verdana"/>
          <w:sz w:val="20"/>
          <w:szCs w:val="20"/>
          <w:lang w:val="en-US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Pr="00132F59">
        <w:rPr>
          <w:rFonts w:ascii="Verdana" w:hAnsi="Verdana"/>
          <w:sz w:val="20"/>
          <w:szCs w:val="20"/>
          <w:lang w:val="en-US"/>
        </w:rPr>
        <w:t>8</w:t>
      </w:r>
      <w:r w:rsidRPr="00132F59">
        <w:rPr>
          <w:rFonts w:ascii="Verdana" w:hAnsi="Verdana"/>
          <w:sz w:val="20"/>
          <w:szCs w:val="20"/>
        </w:rPr>
        <w:t>%</w:t>
      </w:r>
      <w:r w:rsidRPr="00132F59">
        <w:rPr>
          <w:rFonts w:ascii="Verdana" w:hAnsi="Verdana"/>
          <w:sz w:val="20"/>
          <w:szCs w:val="20"/>
          <w:lang w:val="en-US"/>
        </w:rPr>
        <w:t>,</w:t>
      </w:r>
      <w:r w:rsidRPr="00132F59">
        <w:rPr>
          <w:rFonts w:ascii="Verdana" w:hAnsi="Verdana"/>
          <w:sz w:val="20"/>
          <w:szCs w:val="20"/>
        </w:rPr>
        <w:t xml:space="preserve"> и при сградното строителство - с 0.</w:t>
      </w:r>
      <w:r w:rsidRPr="00132F59">
        <w:rPr>
          <w:rFonts w:ascii="Verdana" w:hAnsi="Verdana"/>
          <w:sz w:val="20"/>
          <w:szCs w:val="20"/>
          <w:lang w:val="en-US"/>
        </w:rPr>
        <w:t>7</w:t>
      </w:r>
      <w:r w:rsidRPr="00132F59">
        <w:rPr>
          <w:rFonts w:ascii="Verdana" w:hAnsi="Verdana"/>
          <w:sz w:val="20"/>
          <w:szCs w:val="20"/>
        </w:rPr>
        <w:t xml:space="preserve">%. При строителството на съоръжения се наблюдава намаление - с </w:t>
      </w:r>
      <w:r w:rsidRPr="00132F59">
        <w:rPr>
          <w:rFonts w:ascii="Verdana" w:hAnsi="Verdana"/>
          <w:sz w:val="20"/>
          <w:szCs w:val="20"/>
          <w:lang w:val="en-US"/>
        </w:rPr>
        <w:t>1</w:t>
      </w:r>
      <w:r w:rsidRPr="00132F59">
        <w:rPr>
          <w:rFonts w:ascii="Verdana" w:hAnsi="Verdana"/>
          <w:sz w:val="20"/>
          <w:szCs w:val="20"/>
        </w:rPr>
        <w:t>.0%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674D856A" w14:textId="77777777" w:rsidR="00366214" w:rsidRDefault="00132F59" w:rsidP="00175D30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 w:rsidR="00901DF2">
        <w:rPr>
          <w:rFonts w:ascii="Verdana" w:hAnsi="Verdana"/>
          <w:b/>
          <w:sz w:val="20"/>
          <w:szCs w:val="20"/>
        </w:rPr>
        <w:t xml:space="preserve"> месец</w:t>
      </w:r>
      <w:r w:rsidR="00901DF2">
        <w:rPr>
          <w:rFonts w:ascii="Verdana" w:hAnsi="Verdana"/>
          <w:b/>
          <w:sz w:val="20"/>
          <w:szCs w:val="20"/>
        </w:rPr>
        <w:br/>
        <w:t>(Сезонно изгладени, 2015=</w:t>
      </w:r>
      <w:r w:rsidRPr="00132F59">
        <w:rPr>
          <w:rFonts w:ascii="Verdana" w:hAnsi="Verdana"/>
          <w:b/>
          <w:sz w:val="20"/>
          <w:szCs w:val="20"/>
        </w:rPr>
        <w:t>100)</w:t>
      </w:r>
    </w:p>
    <w:p w14:paraId="74CCC23D" w14:textId="717D19A3" w:rsidR="00132F59" w:rsidRPr="00132F59" w:rsidRDefault="00764CF3" w:rsidP="00175D30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449E6FA3">
          <v:shape id="_x0000_i1026" type="#_x0000_t75" style="width:468.3pt;height:264.85pt">
            <v:imagedata r:id="rId8" o:title=""/>
          </v:shape>
        </w:pict>
      </w:r>
      <w:r w:rsidR="00E755E3" w:rsidRPr="00132F59">
        <w:rPr>
          <w:rFonts w:ascii="Verdana" w:hAnsi="Verdana"/>
          <w:b/>
          <w:sz w:val="20"/>
          <w:szCs w:val="20"/>
        </w:rPr>
        <w:t xml:space="preserve"> </w:t>
      </w:r>
    </w:p>
    <w:p w14:paraId="4276E26D" w14:textId="5B48D153" w:rsidR="00A3357E" w:rsidRDefault="00A3357E" w:rsidP="001A2A67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3934621" w14:textId="77777777" w:rsidR="00AC419B" w:rsidRDefault="00AC419B" w:rsidP="001A2A67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CD79FB0" w14:textId="3EE7AC61" w:rsidR="00132F59" w:rsidRPr="00132F59" w:rsidRDefault="00132F59" w:rsidP="001A2A67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32F59">
        <w:rPr>
          <w:rFonts w:ascii="Verdana" w:hAnsi="Verdana"/>
          <w:b/>
          <w:bCs/>
          <w:sz w:val="20"/>
          <w:szCs w:val="20"/>
        </w:rPr>
        <w:t>Годишни изменения</w:t>
      </w:r>
    </w:p>
    <w:p w14:paraId="6715DFB4" w14:textId="217929E2" w:rsidR="00132F59" w:rsidRPr="00132F59" w:rsidRDefault="00132F59" w:rsidP="002907CA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>През март 2024 г. в сравнение със същия месец на 2023 г. е регистрирано повишение на продукцията при специализираните строителни дейности - със 7.9%, и при строителството на съоръжения - с 5.0%. При сградното строителство се наблюдава намаление - с 0.4%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8D460F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36920D86" w14:textId="77777777" w:rsidR="008D460F" w:rsidRDefault="008D460F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0415446F" w14:textId="77777777" w:rsidR="00363218" w:rsidRDefault="00363218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4D33E225" w14:textId="5B9BD3B2" w:rsidR="00132F59" w:rsidRPr="00956F69" w:rsidRDefault="00132F59" w:rsidP="00764CF3">
      <w:pPr>
        <w:tabs>
          <w:tab w:val="left" w:pos="5460"/>
          <w:tab w:val="left" w:pos="10206"/>
        </w:tabs>
        <w:spacing w:before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lastRenderedPageBreak/>
        <w:t>Фиг. 3. Изменение на индексите на строителната продукция спрямо</w:t>
      </w:r>
    </w:p>
    <w:p w14:paraId="5A77728B" w14:textId="77777777" w:rsidR="00132F59" w:rsidRPr="00956F69" w:rsidRDefault="00132F59" w:rsidP="00764CF3">
      <w:pPr>
        <w:tabs>
          <w:tab w:val="left" w:pos="5460"/>
        </w:tabs>
        <w:spacing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68931BF" w14:textId="4716902E" w:rsidR="00366214" w:rsidRDefault="007A166F" w:rsidP="00764CF3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2015=</w:t>
      </w:r>
      <w:r w:rsidR="00132F59" w:rsidRPr="00956F69">
        <w:rPr>
          <w:rFonts w:ascii="Verdana" w:hAnsi="Verdana"/>
          <w:b/>
          <w:sz w:val="20"/>
          <w:szCs w:val="20"/>
        </w:rPr>
        <w:t>100)</w:t>
      </w:r>
    </w:p>
    <w:p w14:paraId="337214D1" w14:textId="35AE299F" w:rsidR="003D5F6D" w:rsidRPr="00DD11CB" w:rsidRDefault="00764CF3" w:rsidP="00366214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b/>
        </w:rPr>
        <w:pict w14:anchorId="0D2D9483">
          <v:shape id="_x0000_i1027" type="#_x0000_t75" style="width:460.8pt;height:266.7pt">
            <v:imagedata r:id="rId9" o:title=""/>
          </v:shape>
        </w:pict>
      </w:r>
    </w:p>
    <w:p w14:paraId="7FA74317" w14:textId="77777777" w:rsidR="00132F59" w:rsidRPr="00FF1E48" w:rsidRDefault="00132F59" w:rsidP="00366214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240" w:line="360" w:lineRule="auto"/>
        <w:outlineLvl w:val="0"/>
        <w:rPr>
          <w:rFonts w:ascii="Verdana" w:hAnsi="Verdana"/>
          <w:sz w:val="20"/>
          <w:szCs w:val="20"/>
          <w:lang w:val="en-US"/>
        </w:rPr>
        <w:sectPr w:rsidR="00132F59" w:rsidRPr="00FF1E48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3401C67" w14:textId="77777777" w:rsidR="00ED29BD" w:rsidRPr="005E0C67" w:rsidRDefault="00ED29BD" w:rsidP="00ED29BD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D8E60CE" w14:textId="77777777" w:rsidR="00ED29BD" w:rsidRDefault="00ED29BD" w:rsidP="00ED29B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2A2479F5" w14:textId="77777777" w:rsidR="00ED29BD" w:rsidRPr="00773F19" w:rsidRDefault="00ED29BD" w:rsidP="00ED29B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За изчисляване на индексите се използва получената информация за отработеното време в строителството от провежданото месечно извадково наблюдение на строителни предприятия, чиято продукция надхвърля 75% от общата строителна продукция в страната. Индексите на строителната продукция са изчислени при база 2015 = 100. От 2024 г. данните се предоставят съгласно изискванията на Регламент (ЕС) № 2019/2152 и Регламент</w:t>
      </w:r>
      <w:r w:rsidRPr="00773F19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773F19">
        <w:rPr>
          <w:rFonts w:ascii="Verdana" w:hAnsi="Verdana"/>
          <w:sz w:val="20"/>
          <w:szCs w:val="20"/>
          <w:lang w:val="en-US"/>
        </w:rPr>
        <w:t xml:space="preserve">. </w:t>
      </w:r>
    </w:p>
    <w:p w14:paraId="54676B8B" w14:textId="77777777" w:rsidR="00ED29BD" w:rsidRPr="00773F19" w:rsidRDefault="00ED29BD" w:rsidP="00ED29BD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E958E89" w14:textId="77777777" w:rsidR="00ED29BD" w:rsidRPr="00773F19" w:rsidRDefault="00ED29BD" w:rsidP="00ED29B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май може да допринесе за спад на производството в някои дейности).</w:t>
      </w:r>
    </w:p>
    <w:p w14:paraId="4EC5B494" w14:textId="666A1D86" w:rsidR="00171C36" w:rsidRDefault="00171C36" w:rsidP="00813AE6">
      <w:pPr>
        <w:tabs>
          <w:tab w:val="left" w:pos="3187"/>
        </w:tabs>
      </w:pPr>
    </w:p>
    <w:p w14:paraId="0FFB9A4A" w14:textId="7C459919" w:rsidR="00ED29BD" w:rsidRDefault="00ED29BD" w:rsidP="00813AE6">
      <w:pPr>
        <w:tabs>
          <w:tab w:val="left" w:pos="3187"/>
        </w:tabs>
      </w:pPr>
    </w:p>
    <w:p w14:paraId="150F514A" w14:textId="6559397E" w:rsidR="00ED29BD" w:rsidRDefault="00ED29BD" w:rsidP="00813AE6">
      <w:pPr>
        <w:tabs>
          <w:tab w:val="left" w:pos="3187"/>
        </w:tabs>
      </w:pPr>
    </w:p>
    <w:p w14:paraId="2AFF8D3D" w14:textId="2988E5E9" w:rsidR="00ED29BD" w:rsidRDefault="00ED29BD" w:rsidP="00813AE6">
      <w:pPr>
        <w:tabs>
          <w:tab w:val="left" w:pos="3187"/>
        </w:tabs>
      </w:pPr>
    </w:p>
    <w:p w14:paraId="03E8F5F0" w14:textId="6C2BA21D" w:rsidR="00ED29BD" w:rsidRDefault="00ED29BD" w:rsidP="00813AE6">
      <w:pPr>
        <w:tabs>
          <w:tab w:val="left" w:pos="3187"/>
        </w:tabs>
      </w:pPr>
    </w:p>
    <w:p w14:paraId="60F72A32" w14:textId="25063CC3" w:rsidR="00ED29BD" w:rsidRDefault="00ED29BD" w:rsidP="00813AE6">
      <w:pPr>
        <w:tabs>
          <w:tab w:val="left" w:pos="3187"/>
        </w:tabs>
      </w:pPr>
    </w:p>
    <w:p w14:paraId="7B55DD7A" w14:textId="0C84DABA" w:rsidR="00ED29BD" w:rsidRDefault="00ED29BD" w:rsidP="00813AE6">
      <w:pPr>
        <w:tabs>
          <w:tab w:val="left" w:pos="3187"/>
        </w:tabs>
      </w:pPr>
    </w:p>
    <w:p w14:paraId="5FC7C365" w14:textId="480F98F9" w:rsidR="00ED29BD" w:rsidRDefault="00ED29BD" w:rsidP="00813AE6">
      <w:pPr>
        <w:tabs>
          <w:tab w:val="left" w:pos="3187"/>
        </w:tabs>
      </w:pPr>
    </w:p>
    <w:p w14:paraId="196C61A0" w14:textId="6D29711C" w:rsidR="00ED29BD" w:rsidRDefault="00ED29BD" w:rsidP="00813AE6">
      <w:pPr>
        <w:tabs>
          <w:tab w:val="left" w:pos="3187"/>
        </w:tabs>
      </w:pPr>
    </w:p>
    <w:p w14:paraId="69E54272" w14:textId="5DD291FF" w:rsidR="00ED29BD" w:rsidRDefault="00ED29BD" w:rsidP="00813AE6">
      <w:pPr>
        <w:tabs>
          <w:tab w:val="left" w:pos="3187"/>
        </w:tabs>
      </w:pPr>
    </w:p>
    <w:p w14:paraId="7237D766" w14:textId="1B0A201B" w:rsidR="00ED29BD" w:rsidRDefault="00ED29BD" w:rsidP="00813AE6">
      <w:pPr>
        <w:tabs>
          <w:tab w:val="left" w:pos="3187"/>
        </w:tabs>
      </w:pPr>
    </w:p>
    <w:p w14:paraId="6E7E7336" w14:textId="441D9329" w:rsidR="00ED29BD" w:rsidRDefault="00ED29BD" w:rsidP="00813AE6">
      <w:pPr>
        <w:tabs>
          <w:tab w:val="left" w:pos="3187"/>
        </w:tabs>
      </w:pPr>
    </w:p>
    <w:p w14:paraId="3DA371F3" w14:textId="76447812" w:rsidR="00ED29BD" w:rsidRDefault="00ED29BD" w:rsidP="00813AE6">
      <w:pPr>
        <w:tabs>
          <w:tab w:val="left" w:pos="3187"/>
        </w:tabs>
      </w:pPr>
    </w:p>
    <w:p w14:paraId="3BBF5130" w14:textId="399D82A1" w:rsidR="00ED29BD" w:rsidRDefault="00ED29BD" w:rsidP="00813AE6">
      <w:pPr>
        <w:tabs>
          <w:tab w:val="left" w:pos="3187"/>
        </w:tabs>
      </w:pPr>
    </w:p>
    <w:p w14:paraId="6AA91D06" w14:textId="4C2DFFF3" w:rsidR="00ED29BD" w:rsidRDefault="00ED29BD" w:rsidP="00813AE6">
      <w:pPr>
        <w:tabs>
          <w:tab w:val="left" w:pos="3187"/>
        </w:tabs>
      </w:pPr>
    </w:p>
    <w:p w14:paraId="1BC0E7F1" w14:textId="3EC4B2E4" w:rsidR="00ED29BD" w:rsidRDefault="00ED29BD" w:rsidP="00813AE6">
      <w:pPr>
        <w:tabs>
          <w:tab w:val="left" w:pos="3187"/>
        </w:tabs>
      </w:pPr>
    </w:p>
    <w:p w14:paraId="1B0FB7F6" w14:textId="4D57C656" w:rsidR="00ED29BD" w:rsidRDefault="00ED29BD" w:rsidP="00813AE6">
      <w:pPr>
        <w:tabs>
          <w:tab w:val="left" w:pos="3187"/>
        </w:tabs>
      </w:pPr>
    </w:p>
    <w:p w14:paraId="3B60B858" w14:textId="5B032076" w:rsidR="00ED29BD" w:rsidRDefault="00ED29BD" w:rsidP="00813AE6">
      <w:pPr>
        <w:tabs>
          <w:tab w:val="left" w:pos="3187"/>
        </w:tabs>
      </w:pPr>
    </w:p>
    <w:p w14:paraId="2201409C" w14:textId="313B037B" w:rsidR="00ED29BD" w:rsidRDefault="00ED29BD" w:rsidP="00813AE6">
      <w:pPr>
        <w:tabs>
          <w:tab w:val="left" w:pos="3187"/>
        </w:tabs>
      </w:pPr>
    </w:p>
    <w:p w14:paraId="40014167" w14:textId="52BF6F8B" w:rsidR="00ED29BD" w:rsidRDefault="00ED29BD" w:rsidP="00813AE6">
      <w:pPr>
        <w:tabs>
          <w:tab w:val="left" w:pos="3187"/>
        </w:tabs>
      </w:pPr>
    </w:p>
    <w:p w14:paraId="15271232" w14:textId="05870CB0" w:rsidR="00ED29BD" w:rsidRDefault="00ED29BD" w:rsidP="00813AE6">
      <w:pPr>
        <w:tabs>
          <w:tab w:val="left" w:pos="3187"/>
        </w:tabs>
      </w:pPr>
    </w:p>
    <w:p w14:paraId="28FE788E" w14:textId="4034E7DB" w:rsidR="00ED29BD" w:rsidRDefault="00ED29BD" w:rsidP="00813AE6">
      <w:pPr>
        <w:tabs>
          <w:tab w:val="left" w:pos="3187"/>
        </w:tabs>
      </w:pPr>
    </w:p>
    <w:p w14:paraId="48AF846A" w14:textId="2A149FF9" w:rsidR="00ED29BD" w:rsidRDefault="00ED29BD" w:rsidP="00813AE6">
      <w:pPr>
        <w:tabs>
          <w:tab w:val="left" w:pos="3187"/>
        </w:tabs>
      </w:pPr>
    </w:p>
    <w:p w14:paraId="7449CF06" w14:textId="0162515D" w:rsidR="00ED29BD" w:rsidRDefault="00ED29BD" w:rsidP="00813AE6">
      <w:pPr>
        <w:tabs>
          <w:tab w:val="left" w:pos="3187"/>
        </w:tabs>
      </w:pPr>
    </w:p>
    <w:p w14:paraId="33D80D57" w14:textId="1695F9BD" w:rsidR="00ED29BD" w:rsidRDefault="00ED29BD" w:rsidP="00813AE6">
      <w:pPr>
        <w:tabs>
          <w:tab w:val="left" w:pos="3187"/>
        </w:tabs>
      </w:pPr>
    </w:p>
    <w:p w14:paraId="13C54141" w14:textId="5DBF8BAE" w:rsidR="00ED29BD" w:rsidRDefault="00ED29BD" w:rsidP="001F7DD1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129A773E" w14:textId="7E49DA07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661E895C" w14:textId="4CEC48DA" w:rsidR="00ED29BD" w:rsidRPr="00132F59" w:rsidRDefault="00ED29BD" w:rsidP="00764CF3">
      <w:pPr>
        <w:tabs>
          <w:tab w:val="left" w:pos="2268"/>
          <w:tab w:val="left" w:pos="3119"/>
          <w:tab w:val="left" w:pos="5460"/>
        </w:tabs>
        <w:spacing w:before="160" w:line="360" w:lineRule="auto"/>
        <w:ind w:firstLine="567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</w:p>
    <w:p w14:paraId="3C887A3F" w14:textId="77777777" w:rsidR="00ED29BD" w:rsidRPr="00132F59" w:rsidRDefault="00ED29BD" w:rsidP="00ED29BD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5AC684F9" w14:textId="77777777" w:rsidR="00ED29BD" w:rsidRPr="00B70E24" w:rsidRDefault="00ED29BD" w:rsidP="00ED29BD">
      <w:pPr>
        <w:tabs>
          <w:tab w:val="left" w:pos="2268"/>
          <w:tab w:val="left" w:pos="2977"/>
          <w:tab w:val="left" w:pos="5460"/>
        </w:tabs>
        <w:ind w:firstLine="567"/>
        <w:jc w:val="right"/>
        <w:outlineLvl w:val="0"/>
        <w:rPr>
          <w:rFonts w:ascii="Verdana" w:hAnsi="Verdana"/>
          <w:sz w:val="14"/>
          <w:szCs w:val="14"/>
        </w:rPr>
      </w:pPr>
      <w:r w:rsidRPr="00132F59">
        <w:rPr>
          <w:rFonts w:ascii="Verdana" w:hAnsi="Verdana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</w:t>
      </w:r>
      <w:r w:rsidRPr="00132F59">
        <w:rPr>
          <w:rFonts w:ascii="Verdana" w:hAnsi="Verdana"/>
          <w:b/>
          <w:sz w:val="20"/>
          <w:szCs w:val="20"/>
          <w:vertAlign w:val="superscript"/>
          <w:lang w:val="en-US"/>
        </w:rPr>
        <w:t xml:space="preserve">                                                                                                                                     </w:t>
      </w:r>
      <w:r w:rsidRPr="00132F59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132F59">
        <w:rPr>
          <w:rFonts w:ascii="Verdana" w:hAnsi="Verdana"/>
          <w:b/>
          <w:sz w:val="20"/>
          <w:szCs w:val="20"/>
          <w:vertAlign w:val="superscript"/>
          <w:lang w:val="en-US"/>
        </w:rPr>
        <w:t xml:space="preserve">      </w:t>
      </w:r>
      <w:r w:rsidRPr="00132F59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B70E24">
        <w:rPr>
          <w:rFonts w:ascii="Verdana" w:hAnsi="Verdana"/>
          <w:sz w:val="14"/>
          <w:szCs w:val="14"/>
        </w:rPr>
        <w:t>(Проценти)</w:t>
      </w:r>
    </w:p>
    <w:tbl>
      <w:tblPr>
        <w:tblW w:w="9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460"/>
        <w:gridCol w:w="572"/>
        <w:gridCol w:w="572"/>
        <w:gridCol w:w="572"/>
        <w:gridCol w:w="532"/>
        <w:gridCol w:w="604"/>
        <w:gridCol w:w="532"/>
        <w:gridCol w:w="572"/>
        <w:gridCol w:w="572"/>
        <w:gridCol w:w="540"/>
        <w:gridCol w:w="577"/>
        <w:gridCol w:w="501"/>
        <w:gridCol w:w="579"/>
      </w:tblGrid>
      <w:tr w:rsidR="00ED29BD" w:rsidRPr="00670DC7" w14:paraId="549E6894" w14:textId="77777777" w:rsidTr="002253DF">
        <w:trPr>
          <w:trHeight w:val="321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63E" w14:textId="77777777" w:rsidR="00ED29BD" w:rsidRPr="00670DC7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Показатели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FCD93" w14:textId="77777777" w:rsidR="00ED29BD" w:rsidRPr="00670DC7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2023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4AF5" w14:textId="77777777" w:rsidR="00ED29BD" w:rsidRPr="00670DC7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2024</w:t>
            </w:r>
          </w:p>
        </w:tc>
      </w:tr>
      <w:tr w:rsidR="00ED29BD" w:rsidRPr="00670DC7" w14:paraId="6F712442" w14:textId="77777777" w:rsidTr="002253DF">
        <w:trPr>
          <w:trHeight w:val="321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CBDB" w14:textId="77777777" w:rsidR="00ED29BD" w:rsidRPr="00670DC7" w:rsidRDefault="00ED29BD" w:rsidP="009E2EB9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8573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4E0A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B77D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18CB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EA42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689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VIII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ADDB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8B38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2F6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7303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040C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FE8D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37EB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</w:tr>
      <w:tr w:rsidR="00ED29BD" w:rsidRPr="00670DC7" w14:paraId="620E24A6" w14:textId="77777777" w:rsidTr="002253DF">
        <w:trPr>
          <w:trHeight w:val="50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8FBC6" w14:textId="77777777" w:rsidR="00ED29BD" w:rsidRPr="00670DC7" w:rsidRDefault="00ED29BD" w:rsidP="009E2EB9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Строителство - общо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C840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1.6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199E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7820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202A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E279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EF10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E7A5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6C93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0FC0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3C7A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D462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1.1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90E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85AD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0.3</w:t>
            </w:r>
          </w:p>
        </w:tc>
      </w:tr>
      <w:tr w:rsidR="00ED29BD" w:rsidRPr="00670DC7" w14:paraId="28CE0B5C" w14:textId="77777777" w:rsidTr="002253DF">
        <w:trPr>
          <w:trHeight w:val="50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0D63C" w14:textId="77777777" w:rsidR="00ED29BD" w:rsidRPr="00670DC7" w:rsidRDefault="00ED29BD" w:rsidP="009E2EB9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Строителство на сгради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A525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651E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039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9C2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3327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4A89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7535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3CF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81EC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1DA4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D6D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-2.1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4811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6301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0.7</w:t>
            </w:r>
          </w:p>
        </w:tc>
      </w:tr>
      <w:tr w:rsidR="00ED29BD" w:rsidRPr="00670DC7" w14:paraId="0C20E131" w14:textId="77777777" w:rsidTr="002253DF">
        <w:trPr>
          <w:trHeight w:val="50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694C7" w14:textId="77777777" w:rsidR="00ED29BD" w:rsidRPr="00670DC7" w:rsidRDefault="00ED29BD" w:rsidP="009E2EB9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Строителство на съор</w:t>
            </w:r>
            <w: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ъ</w:t>
            </w: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жения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4D4A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629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5A6A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4DFB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-1.0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55E0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34FD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93BF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C4F4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1D1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DC35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E2EE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79BD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00C1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-1.0</w:t>
            </w:r>
          </w:p>
        </w:tc>
      </w:tr>
      <w:tr w:rsidR="00ED29BD" w:rsidRPr="00670DC7" w14:paraId="5775EA9A" w14:textId="77777777" w:rsidTr="002253DF">
        <w:trPr>
          <w:trHeight w:val="50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BBD56" w14:textId="77777777" w:rsidR="00ED29BD" w:rsidRPr="00670DC7" w:rsidRDefault="00ED29BD" w:rsidP="009E2EB9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Специализирани строителни дейности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7059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D396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DF63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8DCB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5A65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B0A0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E576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92BE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69AC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E5D9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5AB2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4.3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4696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E638" w14:textId="77777777" w:rsidR="00ED29BD" w:rsidRPr="00670DC7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670DC7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0.8</w:t>
            </w:r>
          </w:p>
        </w:tc>
      </w:tr>
    </w:tbl>
    <w:p w14:paraId="61B60450" w14:textId="77777777" w:rsidR="00ED29BD" w:rsidRPr="000F6DEC" w:rsidRDefault="00ED29BD" w:rsidP="00ED29BD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1ED06042" w14:textId="77777777" w:rsidR="00ED29BD" w:rsidRPr="00B70E24" w:rsidRDefault="00ED29BD" w:rsidP="00ED29BD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4"/>
          <w:szCs w:val="14"/>
        </w:rPr>
      </w:pPr>
      <w:r w:rsidRPr="00B70E24">
        <w:rPr>
          <w:rFonts w:ascii="Verdana" w:hAnsi="Verdana"/>
          <w:sz w:val="14"/>
          <w:szCs w:val="14"/>
          <w:vertAlign w:val="superscript"/>
        </w:rPr>
        <w:t>1</w:t>
      </w:r>
      <w:r w:rsidRPr="00B70E24">
        <w:rPr>
          <w:rFonts w:ascii="Verdana" w:hAnsi="Verdana"/>
          <w:sz w:val="14"/>
          <w:szCs w:val="14"/>
        </w:rPr>
        <w:t xml:space="preserve"> Сезонно изгладени данни.</w:t>
      </w:r>
    </w:p>
    <w:p w14:paraId="7032B11E" w14:textId="77777777" w:rsidR="00B5377F" w:rsidRDefault="00B5377F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87E7C13" w14:textId="75B65DA0" w:rsidR="00ED29BD" w:rsidRDefault="00EB56CE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6CB770F2" w14:textId="17CAA182" w:rsidR="00ED29BD" w:rsidRPr="00132F59" w:rsidRDefault="00ED29BD" w:rsidP="00764CF3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</w:p>
    <w:p w14:paraId="5474D7DE" w14:textId="77777777" w:rsidR="00ED29BD" w:rsidRPr="00132F59" w:rsidRDefault="00ED29BD" w:rsidP="00ED29BD">
      <w:pPr>
        <w:tabs>
          <w:tab w:val="left" w:pos="2268"/>
        </w:tabs>
        <w:spacing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218A53B7" w14:textId="77777777" w:rsidR="00ED29BD" w:rsidRPr="00B42488" w:rsidRDefault="00ED29BD" w:rsidP="00ED29BD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jc w:val="right"/>
        <w:outlineLvl w:val="0"/>
        <w:rPr>
          <w:rFonts w:ascii="Verdana" w:eastAsia="Times" w:hAnsi="Verdana"/>
          <w:sz w:val="14"/>
          <w:szCs w:val="14"/>
        </w:rPr>
      </w:pP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  <w:t xml:space="preserve">  </w:t>
      </w:r>
      <w:r w:rsidRPr="00B42488">
        <w:rPr>
          <w:rFonts w:ascii="Verdana" w:hAnsi="Verdana"/>
          <w:sz w:val="14"/>
          <w:szCs w:val="14"/>
        </w:rPr>
        <w:t>(Проценти)</w:t>
      </w:r>
    </w:p>
    <w:tbl>
      <w:tblPr>
        <w:tblW w:w="9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510"/>
        <w:gridCol w:w="510"/>
        <w:gridCol w:w="434"/>
        <w:gridCol w:w="466"/>
        <w:gridCol w:w="552"/>
        <w:gridCol w:w="552"/>
        <w:gridCol w:w="552"/>
        <w:gridCol w:w="492"/>
        <w:gridCol w:w="466"/>
        <w:gridCol w:w="466"/>
        <w:gridCol w:w="552"/>
        <w:gridCol w:w="436"/>
        <w:gridCol w:w="519"/>
        <w:gridCol w:w="450"/>
        <w:gridCol w:w="521"/>
      </w:tblGrid>
      <w:tr w:rsidR="00ED29BD" w:rsidRPr="003B2618" w14:paraId="0157EB84" w14:textId="77777777" w:rsidTr="009E2EB9">
        <w:trPr>
          <w:trHeight w:val="266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54D1" w14:textId="77777777" w:rsidR="00ED29BD" w:rsidRPr="003B2618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Показатели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BEC0" w14:textId="77777777" w:rsidR="00ED29BD" w:rsidRPr="003B2618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6AA03" w14:textId="77777777" w:rsidR="00ED29BD" w:rsidRPr="003B2618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2022</w:t>
            </w:r>
          </w:p>
        </w:tc>
        <w:tc>
          <w:tcPr>
            <w:tcW w:w="4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4FBE5" w14:textId="77777777" w:rsidR="00ED29BD" w:rsidRPr="003B2618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72FB" w14:textId="77777777" w:rsidR="00ED29BD" w:rsidRPr="003B2618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2024</w:t>
            </w:r>
          </w:p>
        </w:tc>
      </w:tr>
      <w:tr w:rsidR="00ED29BD" w:rsidRPr="003B2618" w14:paraId="74A4187E" w14:textId="77777777" w:rsidTr="009E2EB9">
        <w:trPr>
          <w:trHeight w:val="266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2E2BF" w14:textId="77777777" w:rsidR="00ED29BD" w:rsidRPr="003B2618" w:rsidRDefault="00ED29BD" w:rsidP="009E2EB9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9148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389C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7267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C4AD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0E8A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C157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E29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6A4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230F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DC6D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239B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BB43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DDE5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6AE3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785C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</w:tr>
      <w:tr w:rsidR="00ED29BD" w:rsidRPr="003B2618" w14:paraId="0E9317F2" w14:textId="77777777" w:rsidTr="009E2EB9">
        <w:trPr>
          <w:trHeight w:val="491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C8705" w14:textId="77777777" w:rsidR="00ED29BD" w:rsidRPr="003B2618" w:rsidRDefault="00ED29BD" w:rsidP="009E2EB9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Строителство - общо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9E5C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9.4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1D90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2.3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1DF8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1ED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88BB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-1.5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3A49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-2.1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FE1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-1.9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A104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EDF9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-0.3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22EE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-2.6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C426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-3.2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CEC7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47D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0.0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6458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4.3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2AC7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3.7</w:t>
            </w:r>
          </w:p>
        </w:tc>
      </w:tr>
      <w:tr w:rsidR="00ED29BD" w:rsidRPr="003B2618" w14:paraId="79A07E55" w14:textId="77777777" w:rsidTr="009E2EB9">
        <w:trPr>
          <w:trHeight w:val="491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A57EF" w14:textId="77777777" w:rsidR="00ED29BD" w:rsidRPr="003B2618" w:rsidRDefault="00ED29BD" w:rsidP="009E2EB9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Строителство на сгради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4E6D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6.4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D4C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1.9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26A3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6.8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EF85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4.4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6C8D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3.4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2FA6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9F49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A542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5.3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64E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4.2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3598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D818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DC52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1A31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-3.5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B2ED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01DE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-0.4</w:t>
            </w:r>
          </w:p>
        </w:tc>
      </w:tr>
      <w:tr w:rsidR="00ED29BD" w:rsidRPr="003B2618" w14:paraId="085F6F94" w14:textId="77777777" w:rsidTr="009E2EB9">
        <w:trPr>
          <w:trHeight w:val="491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B772C" w14:textId="77777777" w:rsidR="00ED29BD" w:rsidRPr="003B2618" w:rsidRDefault="00ED29BD" w:rsidP="009E2EB9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Строителство на съор</w:t>
            </w:r>
            <w: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ъ</w:t>
            </w: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жения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82DD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15.9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34BF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0.7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62C5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-9.7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022C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-9.9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2D52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-10.5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8CBD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-11.7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0282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-11.0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F284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-9.4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A21E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-9.2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55F4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-9.7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519F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-11.2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34D3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6A5B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4.2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E785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8.7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B793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5.0</w:t>
            </w:r>
          </w:p>
        </w:tc>
      </w:tr>
      <w:tr w:rsidR="00ED29BD" w:rsidRPr="003B2618" w14:paraId="27E33737" w14:textId="77777777" w:rsidTr="009E2EB9">
        <w:trPr>
          <w:trHeight w:val="491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826D4" w14:textId="77777777" w:rsidR="00ED29BD" w:rsidRPr="003B2618" w:rsidRDefault="00ED29BD" w:rsidP="009E2EB9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Специализирани строителни дейности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7757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7.5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D20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4.1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9CAA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1002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615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6CD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1C7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67D4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0.8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DCE5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2.3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35D3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CA94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-0.7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4AF5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-2.2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85E0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B95E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6.0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2092" w14:textId="77777777" w:rsidR="00ED29BD" w:rsidRPr="003B2618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3B2618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7.9</w:t>
            </w:r>
          </w:p>
        </w:tc>
      </w:tr>
    </w:tbl>
    <w:p w14:paraId="52C9F8F8" w14:textId="77777777" w:rsidR="00ED29BD" w:rsidRPr="00C20A90" w:rsidRDefault="00ED29BD" w:rsidP="00ED29BD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29612094" w14:textId="77777777" w:rsidR="00ED29BD" w:rsidRDefault="00ED29BD" w:rsidP="00ED29BD">
      <w:pPr>
        <w:tabs>
          <w:tab w:val="left" w:pos="2268"/>
          <w:tab w:val="left" w:pos="5460"/>
        </w:tabs>
        <w:jc w:val="both"/>
        <w:outlineLvl w:val="0"/>
        <w:rPr>
          <w:rFonts w:ascii="Verdana" w:hAnsi="Verdana"/>
          <w:b/>
          <w:sz w:val="20"/>
          <w:szCs w:val="20"/>
        </w:rPr>
      </w:pPr>
      <w:r w:rsidRPr="00B42488">
        <w:rPr>
          <w:rFonts w:ascii="Verdana" w:hAnsi="Verdana"/>
          <w:sz w:val="14"/>
          <w:szCs w:val="14"/>
          <w:vertAlign w:val="superscript"/>
        </w:rPr>
        <w:t xml:space="preserve">1 </w:t>
      </w:r>
      <w:r w:rsidRPr="00B42488">
        <w:rPr>
          <w:rFonts w:ascii="Verdana" w:hAnsi="Verdana"/>
          <w:sz w:val="14"/>
          <w:szCs w:val="14"/>
        </w:rPr>
        <w:t>Календарно изгладени данни.</w:t>
      </w:r>
    </w:p>
    <w:p w14:paraId="3B760481" w14:textId="77777777" w:rsidR="00ED29BD" w:rsidRDefault="00ED29BD" w:rsidP="00ED29BD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372799CC" w14:textId="77777777" w:rsidR="00ED29BD" w:rsidRDefault="00ED29BD" w:rsidP="00ED29BD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1E706404" w14:textId="77777777" w:rsidR="00ED29BD" w:rsidRDefault="00ED29BD" w:rsidP="00ED29BD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7FFC4AC0" w14:textId="77777777" w:rsidR="00ED29BD" w:rsidRDefault="00ED29BD" w:rsidP="00ED29BD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CCA8B86" w14:textId="77777777" w:rsidR="00B5377F" w:rsidRDefault="00B5377F" w:rsidP="00ED29BD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57796DF8" w14:textId="446D6309" w:rsidR="008D460F" w:rsidRDefault="00EB56CE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57D0D0F9" w14:textId="1C474CF3" w:rsidR="00ED29BD" w:rsidRPr="00132F59" w:rsidRDefault="00ED29BD" w:rsidP="00764CF3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00EDC6AA" w14:textId="7F03CB0B" w:rsidR="00ED29BD" w:rsidRPr="00132F59" w:rsidRDefault="00AC419B" w:rsidP="00ED29BD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24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2015=</w:t>
      </w:r>
      <w:r w:rsidR="00ED29BD"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7"/>
        <w:gridCol w:w="556"/>
        <w:gridCol w:w="563"/>
        <w:gridCol w:w="563"/>
        <w:gridCol w:w="9"/>
      </w:tblGrid>
      <w:tr w:rsidR="00ED29BD" w:rsidRPr="00E02CA0" w14:paraId="5F4096D7" w14:textId="77777777" w:rsidTr="009E2EB9">
        <w:trPr>
          <w:trHeight w:val="25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1F1" w14:textId="77777777" w:rsidR="00ED29BD" w:rsidRPr="00E02CA0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Показатели</w:t>
            </w:r>
          </w:p>
        </w:tc>
        <w:tc>
          <w:tcPr>
            <w:tcW w:w="56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2E82" w14:textId="77777777" w:rsidR="00ED29BD" w:rsidRPr="00E02CA0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2023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FC01" w14:textId="77777777" w:rsidR="00ED29BD" w:rsidRPr="00E02CA0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2024</w:t>
            </w:r>
          </w:p>
        </w:tc>
      </w:tr>
      <w:tr w:rsidR="00ED29BD" w:rsidRPr="00E02CA0" w14:paraId="47FAD058" w14:textId="77777777" w:rsidTr="009E2EB9">
        <w:trPr>
          <w:gridAfter w:val="1"/>
          <w:wAfter w:w="9" w:type="dxa"/>
          <w:trHeight w:val="257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A633" w14:textId="77777777" w:rsidR="00ED29BD" w:rsidRPr="00E02CA0" w:rsidRDefault="00ED29BD" w:rsidP="009E2EB9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C22E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1568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278D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0DF0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6F20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0EA5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98B2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CCD1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33D6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5E47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XII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2D9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6C7F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F990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</w:tr>
      <w:tr w:rsidR="00ED29BD" w:rsidRPr="00E02CA0" w14:paraId="10E85E6B" w14:textId="77777777" w:rsidTr="009E2EB9">
        <w:trPr>
          <w:gridAfter w:val="1"/>
          <w:wAfter w:w="9" w:type="dxa"/>
          <w:trHeight w:val="499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7A14C" w14:textId="77777777" w:rsidR="00ED29BD" w:rsidRPr="00E02CA0" w:rsidRDefault="00ED29BD" w:rsidP="009E2EB9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DEF1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91.0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809F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90.6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08A8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90.4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1E5F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89.8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C3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90.0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DB96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90.0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859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90.4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05BD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89.9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0178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89.8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4252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90.1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0293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91.1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C9D8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93.5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5AD5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93.8</w:t>
            </w:r>
          </w:p>
        </w:tc>
      </w:tr>
      <w:tr w:rsidR="00ED29BD" w:rsidRPr="00E02CA0" w14:paraId="4080381B" w14:textId="77777777" w:rsidTr="009E2EB9">
        <w:trPr>
          <w:gridAfter w:val="1"/>
          <w:wAfter w:w="9" w:type="dxa"/>
          <w:trHeight w:val="499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AFBD3" w14:textId="77777777" w:rsidR="00ED29BD" w:rsidRPr="00E02CA0" w:rsidRDefault="00ED29BD" w:rsidP="009E2EB9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9609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96.4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9C93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95.2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448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95.1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F1D1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94.4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B997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94.7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A775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95.3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DF8F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94.9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69AA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94.1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4F64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93.9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5E62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94.6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223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92.7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F11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95.1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9DA9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95.8</w:t>
            </w:r>
          </w:p>
        </w:tc>
      </w:tr>
      <w:tr w:rsidR="00ED29BD" w:rsidRPr="00E02CA0" w14:paraId="0E74CCB8" w14:textId="77777777" w:rsidTr="009E2EB9">
        <w:trPr>
          <w:gridAfter w:val="1"/>
          <w:wAfter w:w="9" w:type="dxa"/>
          <w:trHeight w:val="499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54A3D" w14:textId="77777777" w:rsidR="00ED29BD" w:rsidRPr="00E02CA0" w:rsidRDefault="00ED29BD" w:rsidP="009E2EB9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</w:t>
            </w:r>
            <w: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ъ</w:t>
            </w:r>
            <w:r w:rsidRPr="00E02CA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жения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541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FFD8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C1E9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C336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D7F8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768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F11B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67DC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2E99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EF5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BB7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65.2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6CF6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67.1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DF0D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66.4</w:t>
            </w:r>
          </w:p>
        </w:tc>
      </w:tr>
      <w:tr w:rsidR="00ED29BD" w:rsidRPr="00E02CA0" w14:paraId="5C9316C9" w14:textId="77777777" w:rsidTr="009E2EB9">
        <w:trPr>
          <w:gridAfter w:val="1"/>
          <w:wAfter w:w="9" w:type="dxa"/>
          <w:trHeight w:val="423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E5DE6" w14:textId="77777777" w:rsidR="00ED29BD" w:rsidRPr="00E02CA0" w:rsidRDefault="00ED29BD" w:rsidP="009E2EB9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1D17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123.2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E1B5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123.6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BB3D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122.6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EEDF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122.3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C770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122.0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F937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120.9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918B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122.8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3DD0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122.0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36DF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122.3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C879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122.1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C464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127.3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0286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130.4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B27B" w14:textId="77777777" w:rsidR="00ED29BD" w:rsidRPr="00E02CA0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E02CA0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131.5</w:t>
            </w:r>
          </w:p>
        </w:tc>
      </w:tr>
    </w:tbl>
    <w:p w14:paraId="2712D392" w14:textId="2C655C21" w:rsidR="00ED29BD" w:rsidRDefault="00ED29BD" w:rsidP="00813AE6">
      <w:pPr>
        <w:tabs>
          <w:tab w:val="left" w:pos="3187"/>
        </w:tabs>
      </w:pPr>
    </w:p>
    <w:p w14:paraId="34F61F5A" w14:textId="77777777" w:rsidR="00EB56CE" w:rsidRDefault="00EB56CE" w:rsidP="00EB56CE">
      <w:pPr>
        <w:tabs>
          <w:tab w:val="left" w:pos="3187"/>
        </w:tabs>
        <w:jc w:val="right"/>
        <w:rPr>
          <w:rFonts w:ascii="Verdana" w:hAnsi="Verdana"/>
          <w:b/>
          <w:sz w:val="20"/>
          <w:szCs w:val="20"/>
        </w:rPr>
      </w:pPr>
    </w:p>
    <w:p w14:paraId="478C2565" w14:textId="07B48F9D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0EB87B0B" w14:textId="4946214C" w:rsidR="00ED29BD" w:rsidRPr="005545DB" w:rsidRDefault="00ED29BD" w:rsidP="00764CF3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56552026" w14:textId="45757CD8" w:rsidR="00ED29BD" w:rsidRPr="005545DB" w:rsidRDefault="00AC419B" w:rsidP="00ED29BD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24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2015=</w:t>
      </w:r>
      <w:r w:rsidR="00ED29BD"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8"/>
        <w:gridCol w:w="510"/>
        <w:gridCol w:w="518"/>
        <w:gridCol w:w="518"/>
        <w:gridCol w:w="10"/>
      </w:tblGrid>
      <w:tr w:rsidR="00ED29BD" w:rsidRPr="00CF4D21" w14:paraId="717D5CDE" w14:textId="77777777" w:rsidTr="009E2EB9">
        <w:trPr>
          <w:trHeight w:val="264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32C4" w14:textId="77777777" w:rsidR="00ED29BD" w:rsidRPr="00CF4D21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Показатели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E54" w14:textId="77777777" w:rsidR="00ED29BD" w:rsidRPr="00CF4D21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EE0A" w14:textId="77777777" w:rsidR="00ED29BD" w:rsidRPr="00CF4D21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2022</w:t>
            </w:r>
          </w:p>
        </w:tc>
        <w:tc>
          <w:tcPr>
            <w:tcW w:w="4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C116" w14:textId="77777777" w:rsidR="00ED29BD" w:rsidRPr="00CF4D21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2023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63F76" w14:textId="77777777" w:rsidR="00ED29BD" w:rsidRPr="00CF4D21" w:rsidRDefault="00ED29BD" w:rsidP="009E2EB9">
            <w:pPr>
              <w:jc w:val="center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2024</w:t>
            </w:r>
          </w:p>
        </w:tc>
      </w:tr>
      <w:tr w:rsidR="00ED29BD" w:rsidRPr="00CF4D21" w14:paraId="36FFCBEE" w14:textId="77777777" w:rsidTr="009E2EB9">
        <w:trPr>
          <w:gridAfter w:val="1"/>
          <w:wAfter w:w="10" w:type="dxa"/>
          <w:trHeight w:val="298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AA08" w14:textId="77777777" w:rsidR="00ED29BD" w:rsidRPr="00CF4D21" w:rsidRDefault="00ED29BD" w:rsidP="009E2EB9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D8A3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B610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5D46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41FD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IV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4E8B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F6D9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C031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FE15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VIII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1CDB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45D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7F5A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890B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XII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53AC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BDCE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7D3F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III</w:t>
            </w:r>
          </w:p>
        </w:tc>
      </w:tr>
      <w:tr w:rsidR="00ED29BD" w:rsidRPr="00CF4D21" w14:paraId="4396EE4A" w14:textId="77777777" w:rsidTr="009E2EB9">
        <w:trPr>
          <w:gridAfter w:val="1"/>
          <w:wAfter w:w="10" w:type="dxa"/>
          <w:trHeight w:val="550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F2EA0" w14:textId="77777777" w:rsidR="00ED29BD" w:rsidRPr="00CF4D21" w:rsidRDefault="00ED29BD" w:rsidP="009E2EB9">
            <w:pPr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Строителство - общо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5657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91.8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1383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93.8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3C25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94.4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09B8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88.8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AD1D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87.8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0023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94.1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06F3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95.3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4FA6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92.1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7610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87.3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6B8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95.6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C8EA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90.8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8D74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81.6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9D0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88.5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4620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89.8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133E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b/>
                <w:bCs/>
                <w:sz w:val="13"/>
                <w:szCs w:val="13"/>
                <w:lang w:eastAsia="bg-BG"/>
              </w:rPr>
              <w:t>97.9</w:t>
            </w:r>
          </w:p>
        </w:tc>
      </w:tr>
      <w:tr w:rsidR="00ED29BD" w:rsidRPr="00CF4D21" w14:paraId="603F1414" w14:textId="77777777" w:rsidTr="009E2EB9">
        <w:trPr>
          <w:gridAfter w:val="1"/>
          <w:wAfter w:w="10" w:type="dxa"/>
          <w:trHeight w:val="463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072A3" w14:textId="77777777" w:rsidR="00ED29BD" w:rsidRPr="00CF4D21" w:rsidRDefault="00ED29BD" w:rsidP="009E2EB9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Строителство на сгради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A452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92.8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8DBE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94.6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9574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101.0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5E66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94.1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7865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92.8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B8F2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98.7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F84D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99.7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7A64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97.1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0EB1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91.1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7743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98.5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32D0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92.7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1781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86.1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5D59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91.2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DC9F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92.2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AFEE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100.6</w:t>
            </w:r>
          </w:p>
        </w:tc>
      </w:tr>
      <w:tr w:rsidR="00ED29BD" w:rsidRPr="00CF4D21" w14:paraId="56952ED5" w14:textId="77777777" w:rsidTr="009E2EB9">
        <w:trPr>
          <w:gridAfter w:val="1"/>
          <w:wAfter w:w="10" w:type="dxa"/>
          <w:trHeight w:val="463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1C34" w14:textId="77777777" w:rsidR="00ED29BD" w:rsidRPr="00CF4D21" w:rsidRDefault="00ED29BD" w:rsidP="009E2EB9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Строителство на съор</w:t>
            </w:r>
            <w: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ъ</w:t>
            </w: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жения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E808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72.4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5F89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72.9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E270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65.8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AA18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62.2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3888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61.9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7CC5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66.2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505C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67.9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524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66.1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5701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62.2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7B6F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69.1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265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65.9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6B10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57.4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0DA4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61.4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3BB3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63.1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03D0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69.1</w:t>
            </w:r>
          </w:p>
        </w:tc>
      </w:tr>
      <w:tr w:rsidR="00ED29BD" w:rsidRPr="00CF4D21" w14:paraId="385953D6" w14:textId="77777777" w:rsidTr="009E2EB9">
        <w:trPr>
          <w:gridAfter w:val="1"/>
          <w:wAfter w:w="10" w:type="dxa"/>
          <w:trHeight w:val="463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28D47" w14:textId="77777777" w:rsidR="00ED29BD" w:rsidRPr="00CF4D21" w:rsidRDefault="00ED29BD" w:rsidP="009E2EB9">
            <w:pPr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Специализирани строителни дейности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A5DA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119.0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37D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123.8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490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126.3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2F6C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119.8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42B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118.4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DFD4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128.3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ABAB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129.2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AF49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123.1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8093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118.9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6763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130.4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0E97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124.8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9797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110.7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426F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124.4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092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125.6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F1CF" w14:textId="77777777" w:rsidR="00ED29BD" w:rsidRPr="00CF4D21" w:rsidRDefault="00ED29BD" w:rsidP="009E2EB9">
            <w:pPr>
              <w:jc w:val="right"/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</w:pPr>
            <w:r w:rsidRPr="00CF4D21">
              <w:rPr>
                <w:rFonts w:ascii="Verdana" w:eastAsia="Times New Roman" w:hAnsi="Verdana" w:cs="Arial"/>
                <w:sz w:val="13"/>
                <w:szCs w:val="13"/>
                <w:lang w:eastAsia="bg-BG"/>
              </w:rPr>
              <w:t>136.3</w:t>
            </w:r>
          </w:p>
        </w:tc>
      </w:tr>
    </w:tbl>
    <w:p w14:paraId="6D3155D2" w14:textId="77777777" w:rsidR="00ED29BD" w:rsidRPr="00FF1E48" w:rsidRDefault="00ED29BD" w:rsidP="00813AE6">
      <w:pPr>
        <w:tabs>
          <w:tab w:val="left" w:pos="3187"/>
        </w:tabs>
      </w:pPr>
    </w:p>
    <w:sectPr w:rsidR="00ED29BD" w:rsidRPr="00FF1E48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463F" w14:textId="77777777" w:rsidR="00785933" w:rsidRDefault="00785933" w:rsidP="00214ACA">
      <w:r>
        <w:separator/>
      </w:r>
    </w:p>
  </w:endnote>
  <w:endnote w:type="continuationSeparator" w:id="0">
    <w:p w14:paraId="47E66814" w14:textId="77777777" w:rsidR="00785933" w:rsidRDefault="0078593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A65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8C37AD" wp14:editId="7B409E9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3A39E" w14:textId="2E740001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4CF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8C37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723A39E" w14:textId="2E740001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64CF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120B22" wp14:editId="444206C5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0A914E" wp14:editId="147519BB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F32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2894E31" wp14:editId="38895DE8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4584A" wp14:editId="3B1BBB8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1ADEA" w14:textId="686BD77C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4CF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458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3B71ADEA" w14:textId="686BD77C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64CF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37F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2F8ABB2" wp14:editId="08DF8C2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3118340" wp14:editId="51E4ED1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06F13" w14:textId="673C5757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4CF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834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3E06F13" w14:textId="673C5757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64CF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6695A96" wp14:editId="22C5104C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6FF6FE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DEF8F" w14:textId="77777777" w:rsidR="00785933" w:rsidRDefault="00785933" w:rsidP="00214ACA">
      <w:r>
        <w:separator/>
      </w:r>
    </w:p>
  </w:footnote>
  <w:footnote w:type="continuationSeparator" w:id="0">
    <w:p w14:paraId="0C84D1A6" w14:textId="77777777" w:rsidR="00785933" w:rsidRDefault="00785933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85E1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F495C7A" wp14:editId="0C6D6F98">
              <wp:simplePos x="0" y="0"/>
              <wp:positionH relativeFrom="margin">
                <wp:posOffset>-158115</wp:posOffset>
              </wp:positionH>
              <wp:positionV relativeFrom="paragraph">
                <wp:posOffset>-394970</wp:posOffset>
              </wp:positionV>
              <wp:extent cx="5939155" cy="309880"/>
              <wp:effectExtent l="0" t="0" r="444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15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860CE" w14:textId="77777777" w:rsidR="00101DE0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ИНДЕКСИ НА СТРОИТЕЛНАТА ПРОДУКЦИЯ ПРЕЗ МАРТ 2024 ГОДИНА</w:t>
                          </w:r>
                        </w:p>
                        <w:p w14:paraId="2DD69FB8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1DBA2A5E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09F8076F" w14:textId="77777777" w:rsidR="00132F59" w:rsidRPr="00101DE0" w:rsidRDefault="00132F59" w:rsidP="00AD5F03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45pt;margin-top:-31.1pt;width:467.65pt;height:2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" stroked="f">
              <v:textbox>
                <w:txbxContent>
                  <w:p w:rsidR="00101DE0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ИНДЕКСИ НА СТРОИТЕЛНАТА ПРОДУКЦИЯ ПРЕЗ МАРТ 2024 ГОДИНА</w:t>
                    </w:r>
                  </w:p>
                  <w:p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:rsidR="00132F59" w:rsidRPr="00101DE0" w:rsidRDefault="00132F59" w:rsidP="00AD5F03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D5EC154" wp14:editId="172BACA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9221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B68DDD8" wp14:editId="311389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58257CA" wp14:editId="046ED56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AFE5F6F" wp14:editId="7B9FFEE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40FA8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0E9955E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4042051" wp14:editId="6D58A94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D61F6AE" wp14:editId="324169E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FE87B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16B" w14:textId="234869BE" w:rsidR="008748F1" w:rsidRPr="004F064E" w:rsidRDefault="008D460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34364F3" wp14:editId="513B9034">
              <wp:simplePos x="0" y="0"/>
              <wp:positionH relativeFrom="margin">
                <wp:posOffset>382905</wp:posOffset>
              </wp:positionH>
              <wp:positionV relativeFrom="paragraph">
                <wp:posOffset>-303530</wp:posOffset>
              </wp:positionV>
              <wp:extent cx="537464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500D" w14:textId="77777777" w:rsidR="008D460F" w:rsidRDefault="008D460F" w:rsidP="008D460F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ИНДЕКСИ НА СТРОИТЕЛНАТА ПРОДУКЦИЯ ПРЕЗ МАРТ 2024 ГОДИНА</w:t>
                          </w:r>
                        </w:p>
                        <w:p w14:paraId="4134B112" w14:textId="18C7EC1A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64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.15pt;margin-top:-23.9pt;width:423.2pt;height:2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" stroked="f">
              <v:textbox>
                <w:txbxContent>
                  <w:p w14:paraId="48B9500D" w14:textId="77777777" w:rsidR="008D460F" w:rsidRDefault="008D460F" w:rsidP="008D460F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ИНДЕКСИ НА СТРОИТЕЛНАТА ПРОДУКЦИЯ ПРЕЗ МАРТ 2024 ГОДИНА</w:t>
                    </w:r>
                  </w:p>
                  <w:p w14:paraId="4134B112" w14:textId="18C7EC1A"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1F680DD" wp14:editId="6CCFDE4D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FC2CA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4B7D"/>
    <w:rsid w:val="00036F00"/>
    <w:rsid w:val="0006051E"/>
    <w:rsid w:val="000607BC"/>
    <w:rsid w:val="00077C97"/>
    <w:rsid w:val="00085194"/>
    <w:rsid w:val="000B17C2"/>
    <w:rsid w:val="000B2B10"/>
    <w:rsid w:val="000B3E7A"/>
    <w:rsid w:val="000B6A42"/>
    <w:rsid w:val="000C0D56"/>
    <w:rsid w:val="000F0B88"/>
    <w:rsid w:val="00100B03"/>
    <w:rsid w:val="00101DE0"/>
    <w:rsid w:val="00132F59"/>
    <w:rsid w:val="001344DF"/>
    <w:rsid w:val="0015780A"/>
    <w:rsid w:val="00171C36"/>
    <w:rsid w:val="00175D30"/>
    <w:rsid w:val="001901A0"/>
    <w:rsid w:val="001A2A67"/>
    <w:rsid w:val="001B03D8"/>
    <w:rsid w:val="001C038C"/>
    <w:rsid w:val="001C0F5E"/>
    <w:rsid w:val="001E5BA2"/>
    <w:rsid w:val="001E7AC3"/>
    <w:rsid w:val="001F7DD1"/>
    <w:rsid w:val="00214ACA"/>
    <w:rsid w:val="00221103"/>
    <w:rsid w:val="00224E0C"/>
    <w:rsid w:val="002253DF"/>
    <w:rsid w:val="0028710E"/>
    <w:rsid w:val="002907CA"/>
    <w:rsid w:val="002B15B8"/>
    <w:rsid w:val="002C249D"/>
    <w:rsid w:val="002C44EB"/>
    <w:rsid w:val="002C72D4"/>
    <w:rsid w:val="002D7A70"/>
    <w:rsid w:val="00311F68"/>
    <w:rsid w:val="00321F7B"/>
    <w:rsid w:val="00332C88"/>
    <w:rsid w:val="00336556"/>
    <w:rsid w:val="00363218"/>
    <w:rsid w:val="00364357"/>
    <w:rsid w:val="00366214"/>
    <w:rsid w:val="0038746A"/>
    <w:rsid w:val="003B2503"/>
    <w:rsid w:val="003B2618"/>
    <w:rsid w:val="003B42F8"/>
    <w:rsid w:val="003B46BA"/>
    <w:rsid w:val="003C2111"/>
    <w:rsid w:val="003D5F6D"/>
    <w:rsid w:val="00446CF4"/>
    <w:rsid w:val="004611C8"/>
    <w:rsid w:val="004703BB"/>
    <w:rsid w:val="004760D3"/>
    <w:rsid w:val="00486232"/>
    <w:rsid w:val="004A5F37"/>
    <w:rsid w:val="004D26A7"/>
    <w:rsid w:val="004E73A7"/>
    <w:rsid w:val="004F064E"/>
    <w:rsid w:val="00520539"/>
    <w:rsid w:val="005274F4"/>
    <w:rsid w:val="0055385F"/>
    <w:rsid w:val="005545DB"/>
    <w:rsid w:val="005B4023"/>
    <w:rsid w:val="006120F5"/>
    <w:rsid w:val="00644D53"/>
    <w:rsid w:val="00654814"/>
    <w:rsid w:val="00670DC7"/>
    <w:rsid w:val="006A212D"/>
    <w:rsid w:val="006D0C7C"/>
    <w:rsid w:val="006D1BE4"/>
    <w:rsid w:val="006D7203"/>
    <w:rsid w:val="006F3A55"/>
    <w:rsid w:val="00704539"/>
    <w:rsid w:val="007637CD"/>
    <w:rsid w:val="00764226"/>
    <w:rsid w:val="00764CF3"/>
    <w:rsid w:val="00777C19"/>
    <w:rsid w:val="00785933"/>
    <w:rsid w:val="0078785F"/>
    <w:rsid w:val="007A166F"/>
    <w:rsid w:val="007A3216"/>
    <w:rsid w:val="007C61E0"/>
    <w:rsid w:val="007C7A6A"/>
    <w:rsid w:val="007D3F35"/>
    <w:rsid w:val="007E2974"/>
    <w:rsid w:val="007E5F7D"/>
    <w:rsid w:val="007F116A"/>
    <w:rsid w:val="007F17B3"/>
    <w:rsid w:val="00813AE6"/>
    <w:rsid w:val="00826CA2"/>
    <w:rsid w:val="00870559"/>
    <w:rsid w:val="008748F1"/>
    <w:rsid w:val="00881B14"/>
    <w:rsid w:val="00883238"/>
    <w:rsid w:val="00890BF2"/>
    <w:rsid w:val="008D3797"/>
    <w:rsid w:val="008D460F"/>
    <w:rsid w:val="008E54D4"/>
    <w:rsid w:val="008E71E8"/>
    <w:rsid w:val="00901DF2"/>
    <w:rsid w:val="00936838"/>
    <w:rsid w:val="0094060D"/>
    <w:rsid w:val="00945D47"/>
    <w:rsid w:val="00947EBF"/>
    <w:rsid w:val="00956F69"/>
    <w:rsid w:val="00963B18"/>
    <w:rsid w:val="00975D76"/>
    <w:rsid w:val="009E30C3"/>
    <w:rsid w:val="009E4021"/>
    <w:rsid w:val="00A14E83"/>
    <w:rsid w:val="00A241F0"/>
    <w:rsid w:val="00A3357E"/>
    <w:rsid w:val="00A60481"/>
    <w:rsid w:val="00A63C01"/>
    <w:rsid w:val="00A7142A"/>
    <w:rsid w:val="00A869E9"/>
    <w:rsid w:val="00AB0B6D"/>
    <w:rsid w:val="00AC3D78"/>
    <w:rsid w:val="00AC419B"/>
    <w:rsid w:val="00AD5F03"/>
    <w:rsid w:val="00AE4196"/>
    <w:rsid w:val="00AF2D94"/>
    <w:rsid w:val="00AF7C17"/>
    <w:rsid w:val="00B0333E"/>
    <w:rsid w:val="00B07D27"/>
    <w:rsid w:val="00B42488"/>
    <w:rsid w:val="00B5377F"/>
    <w:rsid w:val="00B55B11"/>
    <w:rsid w:val="00B70E24"/>
    <w:rsid w:val="00B76574"/>
    <w:rsid w:val="00B77149"/>
    <w:rsid w:val="00BD290E"/>
    <w:rsid w:val="00BF4FE7"/>
    <w:rsid w:val="00C02704"/>
    <w:rsid w:val="00C14799"/>
    <w:rsid w:val="00C22E8B"/>
    <w:rsid w:val="00C616FD"/>
    <w:rsid w:val="00C83562"/>
    <w:rsid w:val="00C93974"/>
    <w:rsid w:val="00CA0766"/>
    <w:rsid w:val="00CB4355"/>
    <w:rsid w:val="00CF4D21"/>
    <w:rsid w:val="00D206FB"/>
    <w:rsid w:val="00D25978"/>
    <w:rsid w:val="00D45181"/>
    <w:rsid w:val="00D82477"/>
    <w:rsid w:val="00D847E2"/>
    <w:rsid w:val="00D96697"/>
    <w:rsid w:val="00DC71B8"/>
    <w:rsid w:val="00DD11CB"/>
    <w:rsid w:val="00DE20CA"/>
    <w:rsid w:val="00DE4F56"/>
    <w:rsid w:val="00E02CA0"/>
    <w:rsid w:val="00E10A89"/>
    <w:rsid w:val="00E13DB4"/>
    <w:rsid w:val="00E377F7"/>
    <w:rsid w:val="00E46277"/>
    <w:rsid w:val="00E563C3"/>
    <w:rsid w:val="00E57CEB"/>
    <w:rsid w:val="00E67823"/>
    <w:rsid w:val="00E755E3"/>
    <w:rsid w:val="00EB5089"/>
    <w:rsid w:val="00EB56CE"/>
    <w:rsid w:val="00ED29BD"/>
    <w:rsid w:val="00ED2AE2"/>
    <w:rsid w:val="00F032BD"/>
    <w:rsid w:val="00F050AD"/>
    <w:rsid w:val="00F11D62"/>
    <w:rsid w:val="00F704E1"/>
    <w:rsid w:val="00FA00EF"/>
    <w:rsid w:val="00FD731D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18620E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uiPriority w:val="99"/>
    <w:rsid w:val="00132F59"/>
  </w:style>
  <w:style w:type="character" w:styleId="CommentReference">
    <w:name w:val="annotation reference"/>
    <w:basedOn w:val="DefaultParagraphFont"/>
    <w:uiPriority w:val="99"/>
    <w:semiHidden/>
    <w:unhideWhenUsed/>
    <w:rsid w:val="00E4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33A8-C861-4C73-851F-13DA9795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Adelina  Lozanova-Terezova</cp:lastModifiedBy>
  <cp:revision>3</cp:revision>
  <cp:lastPrinted>2024-05-08T12:24:00Z</cp:lastPrinted>
  <dcterms:created xsi:type="dcterms:W3CDTF">2024-05-09T09:09:00Z</dcterms:created>
  <dcterms:modified xsi:type="dcterms:W3CDTF">2024-05-09T09:16:00Z</dcterms:modified>
</cp:coreProperties>
</file>