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B" w:rsidRPr="00340CAA" w:rsidRDefault="0010291B" w:rsidP="0010291B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ВЪВЕДЕНИ В ЕКСПЛОАТАЦИЯ НОВОПОСТРОЕНИ ЖИЛИЩНИ СГРАДИ И ЖИЛИЩА ПРЕЗ ПЪРВОТО ТРИМЕСЕЧИЕ НА 2024 ГОДИНА</w:t>
      </w:r>
    </w:p>
    <w:p w:rsidR="0010291B" w:rsidRPr="00340CAA" w:rsidRDefault="0010291B" w:rsidP="0010291B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(ПРЕДВАРИТЕЛНИ ДАННИ)</w:t>
      </w:r>
    </w:p>
    <w:p w:rsidR="0010291B" w:rsidRPr="003D49D0" w:rsidRDefault="0010291B" w:rsidP="0010291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По предварителни данни</w:t>
      </w:r>
      <w:r w:rsidRPr="004A31E9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Националния статистически институт броят на въведените в експлоатация жилищни сгради през пъ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рвото тримесечие на 2024 г. е 1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026, а новопостроените жилища в тях са 3 475 (табл. 1 от приложението). </w:t>
      </w:r>
    </w:p>
    <w:p w:rsidR="0010291B" w:rsidRDefault="0010291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1. Въведени в експлоатация новопостроени жилищни сгради и жилища по тримесечия</w:t>
      </w:r>
    </w:p>
    <w:p w:rsidR="0010291B" w:rsidRDefault="0010291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6CAAF54A" wp14:editId="75910354">
            <wp:extent cx="5737225" cy="3143250"/>
            <wp:effectExtent l="0" t="0" r="0" b="0"/>
            <wp:docPr id="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въведените в експлоатация новопостроени жилищни сгради през първото тримесечие на 2024 г. със стоманобетонна конструкция са 78.5%, с тухлена - 16.0%, с друга - 4.3%, и с панелна - 1.2%. Най-голям е относителният дял на новопостроените къщи (79.1%), следвани от жилищните кооперации (12.9%). </w:t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Най-много жилищни сгради са въведени в експлоатация в областите Пловдив - 147 сгради с 357 жилища, София област - 139 сгради с 217 жилища, и Варна - 108 сгради с 394 жилища в тях (фиг. 2). </w:t>
      </w:r>
    </w:p>
    <w:p w:rsidR="00B76C00" w:rsidRPr="00340CA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2. Въведени в експлоатация новопостроени жилищни сгради и жилища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по области през първото тримесечие на 2024 година</w:t>
      </w:r>
    </w:p>
    <w:p w:rsidR="00B76C00" w:rsidRPr="00340CAA" w:rsidRDefault="00B76C00" w:rsidP="00B76C00">
      <w:pPr>
        <w:spacing w:before="120" w:after="120"/>
        <w:jc w:val="center"/>
        <w:rPr>
          <w:rFonts w:ascii="Verdana" w:eastAsia="Times New Roman" w:hAnsi="Verdana" w:cs="Times New Roman"/>
          <w:szCs w:val="20"/>
          <w:lang w:eastAsia="bg-BG"/>
        </w:rPr>
      </w:pPr>
      <w:r w:rsidRPr="00340CAA">
        <w:rPr>
          <w:rFonts w:ascii="Verdana" w:eastAsia="Times New Roman" w:hAnsi="Verdana" w:cs="Times New Roman"/>
          <w:noProof/>
          <w:szCs w:val="20"/>
          <w:lang w:eastAsia="bg-BG"/>
        </w:rPr>
        <w:drawing>
          <wp:inline distT="0" distB="0" distL="0" distR="0" wp14:anchorId="59D52F7C" wp14:editId="628B8B2D">
            <wp:extent cx="5553710" cy="3581400"/>
            <wp:effectExtent l="0" t="0" r="8890" b="0"/>
            <wp:docPr id="14" name="Picture 14" descr="JIL2024_Q1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JIL2024_Q1_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77" cy="35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Най-висок е делът на новопостроените жилища с две стаи (33.6%), следват тези с три стаи (32.8%), а най-нисък е делът на жилищата с шест и повече стаи - 4.5% (фиг. 3). </w:t>
      </w:r>
    </w:p>
    <w:p w:rsidR="00B76C00" w:rsidRPr="00A406C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Въведени в експлоатация новопостроени жилища по брой на стаите</w:t>
      </w:r>
    </w:p>
    <w:p w:rsidR="00B76C00" w:rsidRPr="009F75E6" w:rsidRDefault="00B76C00" w:rsidP="00B76C00">
      <w:pPr>
        <w:spacing w:before="120" w:after="120"/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  <w:r w:rsidRPr="00340CAA"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1E67231A" wp14:editId="75BA698B">
            <wp:extent cx="5861050" cy="2819400"/>
            <wp:effectExtent l="0" t="0" r="6350" b="0"/>
            <wp:docPr id="15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Общата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новопостроените жилища през първото тримесечие на 2024 г. е 353.2 хил. кв. м, а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-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274.5 хил. кв. метра (фиг. 4).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Средната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едно новопостроено жилище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e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101.7 кв. метра.</w:t>
      </w:r>
    </w:p>
    <w:p w:rsidR="00B76C00" w:rsidRPr="00982F07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Най-голяма средна полезна площ на едно новопостроено жилище е регистрирана в областите Монтана - 230.5 кв. м, и Силистра - 182.5 кв. м, а най-малка - в областите Велико Търново - 69.0 кв. м, и Сливен - 75.1 кв. метра.</w:t>
      </w:r>
    </w:p>
    <w:p w:rsidR="00B76C00" w:rsidRPr="009F75E6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4. Обща полезна и жилищна площ на въведените в експлоатация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новопостроени жилища по тримесечия</w:t>
      </w:r>
    </w:p>
    <w:p w:rsidR="00B76C00" w:rsidRPr="00340CAA" w:rsidRDefault="00B76C00" w:rsidP="00B76C00">
      <w:pPr>
        <w:jc w:val="center"/>
        <w:rPr>
          <w:rFonts w:ascii="Verdana" w:eastAsia="Calibri" w:hAnsi="Verdana" w:cs="Calibri"/>
          <w:b/>
          <w:szCs w:val="20"/>
          <w:lang w:eastAsia="bg-BG"/>
        </w:rPr>
      </w:pPr>
      <w:r w:rsidRPr="00340CAA"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0B6FF62E" wp14:editId="6143FFC7">
            <wp:extent cx="5879964" cy="3530278"/>
            <wp:effectExtent l="0" t="0" r="6985" b="0"/>
            <wp:docPr id="17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Default="00B76C00" w:rsidP="00B76C00">
      <w:pPr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Статистическите данни за новопостроените жилищни сгради и жилища 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са разработени на базата на тримесечна информация, получавана от общинските администрации.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обхвата на наблюдението се включват новопостроените жилищни сгради с одобрен приемателен протокол обр. 16 или издадено разрешение за ползване съгласно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br/>
        <w:t>Наредба № 2/31.07.2003 г. на Министерството на регионалното развитие и благоустройството.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включва площта на стаите и кухните с площ 4 и повече квадратни метри.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Спомагателната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</w:t>
      </w:r>
      <w:proofErr w:type="spellStart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лоджии</w:t>
      </w:r>
      <w:proofErr w:type="spellEnd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), независимо от големината на площта им. 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Полезната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жилището представлява сума от жилищната и спомагателната площ.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Средната полезна площ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жилището е отношение на полезната площ към броя на жилищата.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Cs w:val="20"/>
          <w:lang w:eastAsia="bg-BG"/>
        </w:rPr>
        <w:t xml:space="preserve"> 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rPr>
          <w:rFonts w:ascii="Verdana" w:eastAsia="Times New Roman" w:hAnsi="Verdana" w:cs="Times New Roman"/>
          <w:b/>
          <w:szCs w:val="20"/>
          <w:lang w:eastAsia="bg-BG"/>
        </w:rPr>
      </w:pPr>
      <w:r>
        <w:rPr>
          <w:rFonts w:ascii="Verdana" w:eastAsia="Times New Roman" w:hAnsi="Verdana" w:cs="Times New Roman"/>
          <w:b/>
          <w:szCs w:val="20"/>
          <w:lang w:eastAsia="bg-BG"/>
        </w:rPr>
        <w:br w:type="page"/>
      </w: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b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Приложение</w:t>
      </w:r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Таблица 1</w:t>
      </w:r>
    </w:p>
    <w:p w:rsidR="00B76C00" w:rsidRPr="00ED5F9F" w:rsidRDefault="00B76C00" w:rsidP="00B76C0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Въведени в експлоатация новопостроени жилищни сгради и жилища през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първото</w:t>
      </w: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</w:t>
      </w:r>
      <w:r w:rsidRPr="00340CA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  <w:r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t>*</w:t>
      </w:r>
    </w:p>
    <w:tbl>
      <w:tblPr>
        <w:tblW w:w="10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016"/>
        <w:gridCol w:w="1224"/>
        <w:gridCol w:w="994"/>
        <w:gridCol w:w="2268"/>
        <w:gridCol w:w="2380"/>
      </w:tblGrid>
      <w:tr w:rsidR="00B76C00" w:rsidRPr="009F75E6" w:rsidTr="00BC53BC">
        <w:trPr>
          <w:trHeight w:val="1097"/>
          <w:jc w:val="center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Области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Въведени в експлоатация новопостроени сгради и жилища - бр.</w:t>
            </w:r>
          </w:p>
        </w:tc>
        <w:tc>
          <w:tcPr>
            <w:tcW w:w="564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Полезна площ на въведените в експлоатация новопостроени жилища - кв. м</w:t>
            </w:r>
          </w:p>
        </w:tc>
      </w:tr>
      <w:tr w:rsidR="00B76C00" w:rsidRPr="009F75E6" w:rsidTr="00BC53BC">
        <w:trPr>
          <w:trHeight w:val="777"/>
          <w:jc w:val="center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сгради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жилища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площ на жилищните помещения, вкл. кухните над 4 кв. 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площ на спомагателните помещения, вкл. кухните под 4 кв. м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C00" w:rsidRPr="009F75E6" w:rsidRDefault="00B76C00" w:rsidP="00BC53B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 за страната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1026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3475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353238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274497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78741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Благоевград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13797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10486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3311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Бургас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56290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42016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14274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Варна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33848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23432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10416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Велико Търново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6551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1934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14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Враца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1016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Габрово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1896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672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Добрич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620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Кърджали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22019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19497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2522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Кюстендил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775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249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Ловеч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1697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500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Монтана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922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342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Пазарджик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14465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11417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3048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Перник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8945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7440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1505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Плевен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6509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2144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Пловдив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357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46488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33153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13335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Разград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972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347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Русе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5512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1384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Силистра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1460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540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Сливен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4806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3575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1231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2698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410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София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26718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22303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4415</w:t>
            </w:r>
          </w:p>
        </w:tc>
      </w:tr>
      <w:tr w:rsidR="00B76C00" w:rsidRPr="009F75E6" w:rsidTr="00BC53BC">
        <w:trPr>
          <w:trHeight w:val="277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София (столица)</w:t>
            </w:r>
            <w:r>
              <w:rPr>
                <w:rFonts w:ascii="Verdana" w:eastAsia="Times New Roman" w:hAnsi="Verdana" w:cs="Times New Roman"/>
                <w:sz w:val="16"/>
                <w:szCs w:val="18"/>
                <w:vertAlign w:val="superscript"/>
                <w:lang w:val="en-US"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548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52845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45313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7532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Стара Загора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21108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18282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2826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Търговище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2889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1112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Хасково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6876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5218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1658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Шумен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2955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973</w:t>
            </w:r>
          </w:p>
        </w:tc>
      </w:tr>
      <w:tr w:rsidR="00B76C00" w:rsidRPr="009F75E6" w:rsidTr="00BC53BC">
        <w:trPr>
          <w:trHeight w:val="236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Ямбол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1351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411</w:t>
            </w:r>
          </w:p>
        </w:tc>
      </w:tr>
      <w:tr w:rsidR="00B76C00" w:rsidRPr="009F75E6" w:rsidTr="00BC53BC">
        <w:trPr>
          <w:trHeight w:val="97"/>
          <w:jc w:val="center"/>
        </w:trPr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9F75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F75E6" w:rsidRDefault="00B76C00" w:rsidP="00BC53BC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</w:tr>
      <w:tr w:rsidR="00B76C00" w:rsidRPr="009F75E6" w:rsidTr="00BC53BC">
        <w:trPr>
          <w:trHeight w:val="249"/>
          <w:jc w:val="center"/>
        </w:trPr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903F5E" w:rsidRDefault="00B76C00" w:rsidP="00BC53BC">
            <w:pPr>
              <w:jc w:val="both"/>
              <w:rPr>
                <w:rFonts w:ascii="Verdana" w:eastAsia="Times New Roman" w:hAnsi="Verdana" w:cs="Times New Roman"/>
                <w:sz w:val="16"/>
                <w:szCs w:val="18"/>
                <w:lang w:eastAsia="bg-BG"/>
              </w:rPr>
            </w:pPr>
            <w:r w:rsidRPr="00903F5E">
              <w:rPr>
                <w:rFonts w:ascii="Verdana" w:eastAsia="Times New Roman" w:hAnsi="Verdana" w:cs="Times New Roman"/>
                <w:sz w:val="16"/>
                <w:szCs w:val="18"/>
                <w:vertAlign w:val="superscript"/>
                <w:lang w:eastAsia="bg-BG"/>
              </w:rPr>
              <w:t xml:space="preserve">* </w:t>
            </w:r>
            <w:r w:rsidRPr="00903F5E">
              <w:rPr>
                <w:rFonts w:ascii="Verdana" w:eastAsia="Times New Roman" w:hAnsi="Verdana" w:cs="Times New Roman"/>
                <w:sz w:val="16"/>
                <w:szCs w:val="18"/>
                <w:lang w:eastAsia="bg-BG"/>
              </w:rPr>
              <w:t>Предварителни данни.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9F75E6" w:rsidRDefault="00B76C00" w:rsidP="00BC53BC">
            <w:pP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</w:tr>
      <w:tr w:rsidR="00B76C00" w:rsidRPr="009F75E6" w:rsidTr="00BC53BC">
        <w:trPr>
          <w:trHeight w:val="291"/>
          <w:jc w:val="center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C00" w:rsidRPr="00903F5E" w:rsidRDefault="00B76C00" w:rsidP="00BC53BC">
            <w:pPr>
              <w:jc w:val="both"/>
              <w:rPr>
                <w:rFonts w:ascii="Verdana" w:eastAsia="Times New Roman" w:hAnsi="Verdana" w:cs="Times New Roman"/>
                <w:sz w:val="16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8"/>
                <w:vertAlign w:val="superscript"/>
                <w:lang w:val="en-US" w:eastAsia="bg-BG"/>
              </w:rPr>
              <w:t>1</w:t>
            </w:r>
            <w:r w:rsidRPr="00903F5E">
              <w:rPr>
                <w:rFonts w:ascii="Verdana" w:eastAsia="Times New Roman" w:hAnsi="Verdana" w:cs="Times New Roman"/>
                <w:sz w:val="16"/>
                <w:szCs w:val="18"/>
                <w:lang w:eastAsia="bg-BG"/>
              </w:rPr>
              <w:t xml:space="preserve"> Поради смяна на източника на информация за област София (столица), данните се отнасят за районите Витоша, Възраждане, Красна поляна, Кремиковци, Надежда, Слатина и Студентски.</w:t>
            </w:r>
            <w:r w:rsidRPr="00903F5E">
              <w:rPr>
                <w:rFonts w:ascii="Verdana" w:eastAsia="Times New Roman" w:hAnsi="Verdana" w:cs="Times New Roman"/>
                <w:sz w:val="16"/>
                <w:szCs w:val="18"/>
                <w:lang w:val="en-US" w:eastAsia="bg-BG"/>
              </w:rPr>
              <w:t xml:space="preserve"> </w:t>
            </w:r>
            <w:r w:rsidRPr="00903F5E">
              <w:rPr>
                <w:rFonts w:ascii="Verdana" w:eastAsia="Times New Roman" w:hAnsi="Verdana" w:cs="Times New Roman"/>
                <w:sz w:val="16"/>
                <w:szCs w:val="18"/>
                <w:lang w:eastAsia="bg-BG"/>
              </w:rPr>
              <w:t xml:space="preserve">Поради отказ за предоставяне на информация от останалите районни администрации, въведените в експлоатация новопостроени сгради на техните територии не са включени в </w:t>
            </w:r>
            <w:proofErr w:type="spellStart"/>
            <w:r w:rsidRPr="00903F5E">
              <w:rPr>
                <w:rFonts w:ascii="Verdana" w:eastAsia="Times New Roman" w:hAnsi="Verdana" w:cs="Times New Roman"/>
                <w:sz w:val="16"/>
                <w:szCs w:val="18"/>
                <w:lang w:eastAsia="bg-BG"/>
              </w:rPr>
              <w:t>прессъобщението</w:t>
            </w:r>
            <w:proofErr w:type="spellEnd"/>
            <w:r w:rsidRPr="00903F5E">
              <w:rPr>
                <w:rFonts w:ascii="Verdana" w:eastAsia="Times New Roman" w:hAnsi="Verdana" w:cs="Times New Roman"/>
                <w:sz w:val="16"/>
                <w:szCs w:val="18"/>
                <w:lang w:val="en-US" w:eastAsia="bg-BG"/>
              </w:rPr>
              <w:t>.</w:t>
            </w:r>
          </w:p>
        </w:tc>
      </w:tr>
    </w:tbl>
    <w:p w:rsidR="00B76C00" w:rsidRPr="00340CAA" w:rsidRDefault="00B76C00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76C00" w:rsidRDefault="00B76C00" w:rsidP="00B76C00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bookmarkStart w:id="0" w:name="_GoBack"/>
      <w:bookmarkEnd w:id="0"/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2</w:t>
      </w:r>
    </w:p>
    <w:p w:rsidR="00B76C00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Новопостроени жилищни сгради според вида на сградата</w:t>
      </w:r>
    </w:p>
    <w:tbl>
      <w:tblPr>
        <w:tblW w:w="11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708"/>
        <w:gridCol w:w="660"/>
        <w:gridCol w:w="660"/>
        <w:gridCol w:w="661"/>
        <w:gridCol w:w="660"/>
        <w:gridCol w:w="660"/>
        <w:gridCol w:w="660"/>
        <w:gridCol w:w="661"/>
        <w:gridCol w:w="660"/>
        <w:gridCol w:w="660"/>
        <w:gridCol w:w="660"/>
        <w:gridCol w:w="661"/>
        <w:gridCol w:w="712"/>
      </w:tblGrid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(Брой)</w:t>
            </w:r>
          </w:p>
        </w:tc>
      </w:tr>
      <w:tr w:rsidR="00B76C00" w:rsidRPr="003044EC" w:rsidTr="00BC53BC">
        <w:trPr>
          <w:trHeight w:val="219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bg-BG"/>
              </w:rPr>
              <w:t>*</w:t>
            </w:r>
          </w:p>
        </w:tc>
      </w:tr>
      <w:tr w:rsidR="00B76C00" w:rsidRPr="003044EC" w:rsidTr="00BC53BC">
        <w:trPr>
          <w:trHeight w:val="393"/>
          <w:jc w:val="center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І    </w:t>
            </w:r>
            <w:proofErr w:type="spellStart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.</w:t>
            </w: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858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1197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1586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1026</w:t>
            </w: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Къщи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1053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978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812</w:t>
            </w:r>
          </w:p>
        </w:tc>
      </w:tr>
      <w:tr w:rsidR="00B76C00" w:rsidRPr="003044EC" w:rsidTr="00BC53BC">
        <w:trPr>
          <w:trHeight w:val="41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Жилищни блокове/кооперации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132</w:t>
            </w: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от смесен тип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</w:t>
            </w: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Общежития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</w:tr>
      <w:tr w:rsidR="00B76C00" w:rsidRPr="003044EC" w:rsidTr="00BC53BC">
        <w:trPr>
          <w:trHeight w:val="196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Вили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</w:tr>
      <w:tr w:rsidR="00B76C00" w:rsidRPr="003044EC" w:rsidTr="00BC53BC">
        <w:trPr>
          <w:trHeight w:val="370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за колективно домакинство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</w:tr>
      <w:tr w:rsidR="00B76C00" w:rsidRPr="003044EC" w:rsidTr="00BC53BC">
        <w:trPr>
          <w:trHeight w:val="103"/>
          <w:jc w:val="center"/>
        </w:trPr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</w:tr>
      <w:tr w:rsidR="00B76C00" w:rsidRPr="003044EC" w:rsidTr="00BC53BC">
        <w:trPr>
          <w:trHeight w:val="173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B76C00" w:rsidRPr="003044EC" w:rsidTr="00BC53BC">
        <w:trPr>
          <w:trHeight w:val="272"/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044EC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*</w:t>
            </w:r>
            <w:r w:rsidRPr="003044E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C00" w:rsidRPr="003044EC" w:rsidRDefault="00B76C00" w:rsidP="00BC53B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B76C00" w:rsidRPr="001839E5" w:rsidRDefault="00B76C00" w:rsidP="00B76C00">
      <w:pPr>
        <w:tabs>
          <w:tab w:val="left" w:pos="5497"/>
        </w:tabs>
      </w:pPr>
    </w:p>
    <w:p w:rsidR="0010291B" w:rsidRPr="00340CAA" w:rsidRDefault="0010291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760D3" w:rsidRDefault="004760D3" w:rsidP="00AF2D94">
      <w:pPr>
        <w:tabs>
          <w:tab w:val="left" w:pos="3123"/>
        </w:tabs>
        <w:spacing w:line="360" w:lineRule="auto"/>
        <w:ind w:firstLine="567"/>
        <w:jc w:val="right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D5F6D" w:rsidRPr="00DD11CB" w:rsidRDefault="003D5F6D" w:rsidP="003D5F6D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D731D" w:rsidRDefault="00FD731D" w:rsidP="00FD731D">
      <w:pPr>
        <w:spacing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4760D3" w:rsidRPr="00C22E8B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171C36" w:rsidRPr="00870559" w:rsidRDefault="00171C36" w:rsidP="00336556">
      <w:pPr>
        <w:spacing w:line="360" w:lineRule="auto"/>
        <w:ind w:firstLine="567"/>
        <w:jc w:val="both"/>
      </w:pPr>
    </w:p>
    <w:p w:rsidR="00171C36" w:rsidRDefault="00171C36" w:rsidP="00336556">
      <w:pPr>
        <w:spacing w:line="360" w:lineRule="auto"/>
        <w:ind w:firstLine="567"/>
        <w:jc w:val="both"/>
      </w:pPr>
    </w:p>
    <w:p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58" w:rsidRDefault="005E1658" w:rsidP="00214ACA">
      <w:r>
        <w:separator/>
      </w:r>
    </w:p>
  </w:endnote>
  <w:endnote w:type="continuationSeparator" w:id="0">
    <w:p w:rsidR="005E1658" w:rsidRDefault="005E165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C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C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C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C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C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C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58" w:rsidRDefault="005E1658" w:rsidP="00214ACA">
      <w:r>
        <w:separator/>
      </w:r>
    </w:p>
  </w:footnote>
  <w:footnote w:type="continuationSeparator" w:id="0">
    <w:p w:rsidR="005E1658" w:rsidRDefault="005E1658" w:rsidP="00214ACA">
      <w:r>
        <w:continuationSeparator/>
      </w:r>
    </w:p>
  </w:footnote>
  <w:footnote w:id="1">
    <w:p w:rsidR="0010291B" w:rsidRPr="00CF4A17" w:rsidRDefault="0010291B" w:rsidP="0010291B">
      <w:pPr>
        <w:pStyle w:val="FootnoteText"/>
        <w:jc w:val="both"/>
        <w:rPr>
          <w:rFonts w:ascii="Verdana" w:hAnsi="Verdana"/>
          <w:lang w:val="bg-BG"/>
        </w:rPr>
      </w:pPr>
      <w:r w:rsidRPr="00903F5E">
        <w:rPr>
          <w:rStyle w:val="FootnoteReference"/>
          <w:rFonts w:ascii="Verdana" w:hAnsi="Verdana"/>
          <w:sz w:val="16"/>
        </w:rPr>
        <w:footnoteRef/>
      </w:r>
      <w:r w:rsidRPr="00903F5E">
        <w:rPr>
          <w:rFonts w:ascii="Verdana" w:hAnsi="Verdana"/>
          <w:sz w:val="16"/>
        </w:rPr>
        <w:t xml:space="preserve"> </w:t>
      </w:r>
      <w:r w:rsidRPr="00903F5E">
        <w:rPr>
          <w:rFonts w:ascii="Verdana" w:hAnsi="Verdana"/>
          <w:sz w:val="16"/>
          <w:lang w:val="bg-BG"/>
        </w:rPr>
        <w:t xml:space="preserve">Поради смяна на източника на информация за област София (столица), данните се отнасят за районите Витоша, Възраждане, Красна поляна, Кремиковци, Надежда, Слатина и Студентски. Поради отказ на останалите районни администрации да предоставят информация, въведените в експлоатация новопостроени жилищни сгради на техните територии не са включени в </w:t>
      </w:r>
      <w:proofErr w:type="spellStart"/>
      <w:r w:rsidRPr="00903F5E">
        <w:rPr>
          <w:rFonts w:ascii="Verdana" w:hAnsi="Verdana"/>
          <w:sz w:val="16"/>
          <w:lang w:val="bg-BG"/>
        </w:rPr>
        <w:t>прессъобщението</w:t>
      </w:r>
      <w:proofErr w:type="spellEnd"/>
      <w:r w:rsidRPr="00903F5E">
        <w:rPr>
          <w:rFonts w:ascii="Verdana" w:hAnsi="Verdana"/>
          <w:sz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205740</wp:posOffset>
              </wp:positionH>
              <wp:positionV relativeFrom="paragraph">
                <wp:posOffset>-494665</wp:posOffset>
              </wp:positionV>
              <wp:extent cx="5229225" cy="4381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B76C0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ВЪВЕДЕНИ В ЕКСПЛОАТАЦИЯ НОВОПОСТРОЕНИ ЖИЛИЩНИ СГРАДИ И ЖИЛИЩА ПРЕЗ ПЪРВОТО ТРИМЕСЕЧИЕ НА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2pt;margin-top:-38.95pt;width:411.75pt;height:3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" stroked="f">
              <v:textbox>
                <w:txbxContent>
                  <w:p w:rsidR="00101DE0" w:rsidRPr="00101DE0" w:rsidRDefault="00B76C0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ВЪВЕДЕНИ В ЕКСПЛОАТАЦИЯ НОВОПОСТРОЕНИ ЖИЛИЩНИ СГРАДИ И ЖИЛИЩА ПРЕЗ ПЪРВОТО ТРИМЕСЕЧИЕ НА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10291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-241935</wp:posOffset>
              </wp:positionH>
              <wp:positionV relativeFrom="paragraph">
                <wp:posOffset>-479425</wp:posOffset>
              </wp:positionV>
              <wp:extent cx="5572125" cy="4857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91B" w:rsidRPr="00340CAA" w:rsidRDefault="0010291B" w:rsidP="0010291B">
                          <w:pPr>
                            <w:spacing w:after="160"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ВЪВЕДЕНИ В ЕКСПЛОАТАЦИЯ НОВОПОСТРОЕНИ ЖИЛИЩНИ СГРАДИ И ЖИЛИЩА ПРЕЗ ПЪРВОТО ТРИМЕСЕЧИЕ НА 2024 ГОДИНА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9.05pt;margin-top:-37.75pt;width:438.75pt;height:3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" stroked="f">
              <v:textbox>
                <w:txbxContent>
                  <w:p w:rsidR="0010291B" w:rsidRPr="00340CAA" w:rsidRDefault="0010291B" w:rsidP="0010291B">
                    <w:pPr>
                      <w:spacing w:after="160"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ВЪВЕДЕНИ В ЕКСПЛОАТАЦИЯ НОВОПОСТРОЕНИ ЖИЛИЩНИ СГРАДИ И ЖИЛИЩА ПРЕЗ ПЪРВОТО ТРИМЕСЕЧИЕ НА 2024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31F93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F0B88"/>
    <w:rsid w:val="00101DE0"/>
    <w:rsid w:val="0010291B"/>
    <w:rsid w:val="00171C36"/>
    <w:rsid w:val="001901A0"/>
    <w:rsid w:val="001B03D8"/>
    <w:rsid w:val="001E5BA2"/>
    <w:rsid w:val="001E7AC3"/>
    <w:rsid w:val="00214ACA"/>
    <w:rsid w:val="002C72D4"/>
    <w:rsid w:val="00332C88"/>
    <w:rsid w:val="00336556"/>
    <w:rsid w:val="00364357"/>
    <w:rsid w:val="0038746A"/>
    <w:rsid w:val="003B2503"/>
    <w:rsid w:val="003B42F8"/>
    <w:rsid w:val="003B46BA"/>
    <w:rsid w:val="003C2111"/>
    <w:rsid w:val="003D5F6D"/>
    <w:rsid w:val="00446CF4"/>
    <w:rsid w:val="004760D3"/>
    <w:rsid w:val="00486232"/>
    <w:rsid w:val="004F064E"/>
    <w:rsid w:val="00520539"/>
    <w:rsid w:val="005B4023"/>
    <w:rsid w:val="005E1658"/>
    <w:rsid w:val="006120F5"/>
    <w:rsid w:val="00644D53"/>
    <w:rsid w:val="00654814"/>
    <w:rsid w:val="006A212D"/>
    <w:rsid w:val="006D1BE4"/>
    <w:rsid w:val="00704539"/>
    <w:rsid w:val="007359C3"/>
    <w:rsid w:val="00764226"/>
    <w:rsid w:val="007C61E0"/>
    <w:rsid w:val="007C7A6A"/>
    <w:rsid w:val="007F116A"/>
    <w:rsid w:val="007F17B3"/>
    <w:rsid w:val="00870559"/>
    <w:rsid w:val="008748F1"/>
    <w:rsid w:val="00881B14"/>
    <w:rsid w:val="00883238"/>
    <w:rsid w:val="008D3797"/>
    <w:rsid w:val="008E71E8"/>
    <w:rsid w:val="0094060D"/>
    <w:rsid w:val="00947EBF"/>
    <w:rsid w:val="009A6B8F"/>
    <w:rsid w:val="009E4021"/>
    <w:rsid w:val="00A14E83"/>
    <w:rsid w:val="00A7142A"/>
    <w:rsid w:val="00A869E9"/>
    <w:rsid w:val="00AC3D78"/>
    <w:rsid w:val="00AE4196"/>
    <w:rsid w:val="00AF2D94"/>
    <w:rsid w:val="00B0333E"/>
    <w:rsid w:val="00B07D27"/>
    <w:rsid w:val="00B55B11"/>
    <w:rsid w:val="00B76C00"/>
    <w:rsid w:val="00B77149"/>
    <w:rsid w:val="00C14799"/>
    <w:rsid w:val="00C22E8B"/>
    <w:rsid w:val="00C616FD"/>
    <w:rsid w:val="00C93974"/>
    <w:rsid w:val="00CA0766"/>
    <w:rsid w:val="00D82477"/>
    <w:rsid w:val="00DD11CB"/>
    <w:rsid w:val="00DE20CA"/>
    <w:rsid w:val="00DE4F56"/>
    <w:rsid w:val="00E13DB4"/>
    <w:rsid w:val="00E563C3"/>
    <w:rsid w:val="00E67823"/>
    <w:rsid w:val="00EB5089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2CF84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99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r>
              <a:rPr lang="bg-BG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Брой</a:t>
            </a:r>
          </a:p>
        </c:rich>
      </c:tx>
      <c:layout>
        <c:manualLayout>
          <c:xMode val="edge"/>
          <c:yMode val="edge"/>
          <c:x val="6.5573413617415463E-2"/>
          <c:y val="1.3434029193217333E-2"/>
        </c:manualLayout>
      </c:layout>
      <c:overlay val="0"/>
      <c:spPr>
        <a:noFill/>
        <a:ln w="253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862085496248553E-2"/>
          <c:y val="8.7271332896989892E-2"/>
          <c:w val="0.8975862350889855"/>
          <c:h val="0.7490868443114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'Жилища и жил.сгради'!$A$3</c:f>
              <c:strCache>
                <c:ptCount val="1"/>
                <c:pt idx="0">
                  <c:v>Жилищни сгради</c:v>
                </c:pt>
              </c:strCache>
            </c:strRef>
          </c:tx>
          <c:spPr>
            <a:solidFill>
              <a:srgbClr val="5B9BD5"/>
            </a:solidFill>
            <a:ln w="25374">
              <a:noFill/>
            </a:ln>
          </c:spPr>
          <c:invertIfNegative val="0"/>
          <c:cat>
            <c:strRef>
              <c:f>'Жилища и жил.сгради'!$K$2:$AE$2</c:f>
              <c:strCache>
                <c:ptCount val="21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</c:strCache>
            </c:strRef>
          </c:cat>
          <c:val>
            <c:numRef>
              <c:f>'Жилища и жил.сгради'!$K$3:$AE$3</c:f>
              <c:numCache>
                <c:formatCode>General</c:formatCode>
                <c:ptCount val="21"/>
                <c:pt idx="0">
                  <c:v>665</c:v>
                </c:pt>
                <c:pt idx="1">
                  <c:v>662</c:v>
                </c:pt>
                <c:pt idx="2">
                  <c:v>788</c:v>
                </c:pt>
                <c:pt idx="3">
                  <c:v>937</c:v>
                </c:pt>
                <c:pt idx="4">
                  <c:v>792</c:v>
                </c:pt>
                <c:pt idx="5">
                  <c:v>757</c:v>
                </c:pt>
                <c:pt idx="6">
                  <c:v>899</c:v>
                </c:pt>
                <c:pt idx="7">
                  <c:v>928</c:v>
                </c:pt>
                <c:pt idx="8">
                  <c:v>952</c:v>
                </c:pt>
                <c:pt idx="9">
                  <c:v>867</c:v>
                </c:pt>
                <c:pt idx="10">
                  <c:v>858</c:v>
                </c:pt>
                <c:pt idx="11">
                  <c:v>1221</c:v>
                </c:pt>
                <c:pt idx="12">
                  <c:v>1271</c:v>
                </c:pt>
                <c:pt idx="13">
                  <c:v>1197</c:v>
                </c:pt>
                <c:pt idx="14">
                  <c:v>1336</c:v>
                </c:pt>
                <c:pt idx="15">
                  <c:v>1586</c:v>
                </c:pt>
                <c:pt idx="16">
                  <c:v>1345</c:v>
                </c:pt>
                <c:pt idx="17">
                  <c:v>1289</c:v>
                </c:pt>
                <c:pt idx="18">
                  <c:v>1311</c:v>
                </c:pt>
                <c:pt idx="19">
                  <c:v>1474</c:v>
                </c:pt>
                <c:pt idx="20">
                  <c:v>1026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4-4CB1-8A97-E38461A2784E}"/>
            </c:ext>
          </c:extLst>
        </c:ser>
        <c:ser>
          <c:idx val="1"/>
          <c:order val="1"/>
          <c:tx>
            <c:strRef>
              <c:f>'Жилища и жил.сгради'!$A$4</c:f>
              <c:strCache>
                <c:ptCount val="1"/>
                <c:pt idx="0">
                  <c:v>Жилища</c:v>
                </c:pt>
              </c:strCache>
            </c:strRef>
          </c:tx>
          <c:spPr>
            <a:solidFill>
              <a:srgbClr val="ED7D31"/>
            </a:solidFill>
            <a:ln w="25374">
              <a:noFill/>
            </a:ln>
          </c:spPr>
          <c:invertIfNegative val="0"/>
          <c:cat>
            <c:strRef>
              <c:f>'Жилища и жил.сгради'!$K$2:$AE$2</c:f>
              <c:strCache>
                <c:ptCount val="21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</c:strCache>
            </c:strRef>
          </c:cat>
          <c:val>
            <c:numRef>
              <c:f>'Жилища и жил.сгради'!$K$4:$AE$4</c:f>
              <c:numCache>
                <c:formatCode>General</c:formatCode>
                <c:ptCount val="21"/>
                <c:pt idx="0">
                  <c:v>2597</c:v>
                </c:pt>
                <c:pt idx="1">
                  <c:v>2343</c:v>
                </c:pt>
                <c:pt idx="2">
                  <c:v>2984</c:v>
                </c:pt>
                <c:pt idx="3">
                  <c:v>4181</c:v>
                </c:pt>
                <c:pt idx="4">
                  <c:v>3803</c:v>
                </c:pt>
                <c:pt idx="5">
                  <c:v>3380</c:v>
                </c:pt>
                <c:pt idx="6">
                  <c:v>3923</c:v>
                </c:pt>
                <c:pt idx="7">
                  <c:v>4309</c:v>
                </c:pt>
                <c:pt idx="8">
                  <c:v>4473</c:v>
                </c:pt>
                <c:pt idx="9">
                  <c:v>4168</c:v>
                </c:pt>
                <c:pt idx="10">
                  <c:v>3804</c:v>
                </c:pt>
                <c:pt idx="11">
                  <c:v>5423</c:v>
                </c:pt>
                <c:pt idx="12">
                  <c:v>4580</c:v>
                </c:pt>
                <c:pt idx="13">
                  <c:v>4077</c:v>
                </c:pt>
                <c:pt idx="14">
                  <c:v>5941</c:v>
                </c:pt>
                <c:pt idx="15">
                  <c:v>5249</c:v>
                </c:pt>
                <c:pt idx="16">
                  <c:v>4938</c:v>
                </c:pt>
                <c:pt idx="17">
                  <c:v>5988</c:v>
                </c:pt>
                <c:pt idx="18">
                  <c:v>5557</c:v>
                </c:pt>
                <c:pt idx="19">
                  <c:v>6166</c:v>
                </c:pt>
                <c:pt idx="20">
                  <c:v>3475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34-4CB1-8A97-E38461A27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27"/>
        <c:axId val="1015659856"/>
        <c:axId val="1"/>
      </c:barChart>
      <c:catAx>
        <c:axId val="101565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82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015659856"/>
        <c:crosses val="autoZero"/>
        <c:crossBetween val="between"/>
      </c:valAx>
      <c:spPr>
        <a:noFill/>
        <a:ln w="25374">
          <a:noFill/>
        </a:ln>
      </c:spPr>
    </c:plotArea>
    <c:legend>
      <c:legendPos val="b"/>
      <c:layout>
        <c:manualLayout>
          <c:xMode val="edge"/>
          <c:yMode val="edge"/>
          <c:x val="0.23977736606453606"/>
          <c:y val="0.9231733499252649"/>
          <c:w val="0.50937532808398955"/>
          <c:h val="5.6675463251017355E-2"/>
        </c:manualLayout>
      </c:layout>
      <c:overlay val="0"/>
      <c:spPr>
        <a:noFill/>
        <a:ln w="25374">
          <a:noFill/>
        </a:ln>
      </c:spPr>
      <c:txPr>
        <a:bodyPr/>
        <a:lstStyle/>
        <a:p>
          <a:pPr>
            <a:defRPr sz="900" b="0" i="0" u="none" strike="noStrike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bg-BG" sz="900"/>
              <a:t>Брой</a:t>
            </a:r>
          </a:p>
        </c:rich>
      </c:tx>
      <c:layout>
        <c:manualLayout>
          <c:xMode val="edge"/>
          <c:yMode val="edge"/>
          <c:x val="5.5537594565385207E-2"/>
          <c:y val="1.9323576400775991E-2"/>
        </c:manualLayout>
      </c:layout>
      <c:overlay val="0"/>
      <c:spPr>
        <a:noFill/>
        <a:ln w="2539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'брой стаи бг'!$B$4</c:f>
              <c:strCache>
                <c:ptCount val="1"/>
                <c:pt idx="0">
                  <c:v>Първо тримесечие 2023 г.</c:v>
                </c:pt>
              </c:strCache>
            </c:strRef>
          </c:tx>
          <c:spPr>
            <a:solidFill>
              <a:srgbClr val="5B9BD5"/>
            </a:solidFill>
            <a:ln w="25398">
              <a:noFill/>
            </a:ln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бг'!$B$5:$B$10</c:f>
              <c:numCache>
                <c:formatCode>General</c:formatCode>
                <c:ptCount val="6"/>
                <c:pt idx="0">
                  <c:v>420</c:v>
                </c:pt>
                <c:pt idx="1">
                  <c:v>1838</c:v>
                </c:pt>
                <c:pt idx="2">
                  <c:v>1607</c:v>
                </c:pt>
                <c:pt idx="3">
                  <c:v>562</c:v>
                </c:pt>
                <c:pt idx="4">
                  <c:v>256</c:v>
                </c:pt>
                <c:pt idx="5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C-4AEE-8673-7D45A61008BF}"/>
            </c:ext>
          </c:extLst>
        </c:ser>
        <c:ser>
          <c:idx val="1"/>
          <c:order val="1"/>
          <c:tx>
            <c:strRef>
              <c:f>'брой стаи бг'!$C$4</c:f>
              <c:strCache>
                <c:ptCount val="1"/>
                <c:pt idx="0">
                  <c:v>Първо тримесечие 2024 г.</c:v>
                </c:pt>
              </c:strCache>
            </c:strRef>
          </c:tx>
          <c:spPr>
            <a:solidFill>
              <a:srgbClr val="ED7D31"/>
            </a:solidFill>
            <a:ln w="25398">
              <a:noFill/>
            </a:ln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бг'!$C$5:$C$10</c:f>
              <c:numCache>
                <c:formatCode>General</c:formatCode>
                <c:ptCount val="6"/>
                <c:pt idx="0">
                  <c:v>193</c:v>
                </c:pt>
                <c:pt idx="1">
                  <c:v>1166</c:v>
                </c:pt>
                <c:pt idx="2">
                  <c:v>1139</c:v>
                </c:pt>
                <c:pt idx="3">
                  <c:v>555</c:v>
                </c:pt>
                <c:pt idx="4">
                  <c:v>265</c:v>
                </c:pt>
                <c:pt idx="5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C-4AEE-8673-7D45A6100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1015643440"/>
        <c:axId val="1"/>
      </c:barChart>
      <c:catAx>
        <c:axId val="101564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015643440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Calibri"/>
              </a:defRPr>
            </a:pPr>
            <a:r>
              <a:rPr lang="bg-BG" sz="90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rPr>
              <a:t>Хил. м</a:t>
            </a:r>
            <a:r>
              <a:rPr lang="bg-BG" sz="900" b="0" i="0" u="none" strike="noStrike" baseline="30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rPr>
              <a:t>2</a:t>
            </a:r>
          </a:p>
        </c:rich>
      </c:tx>
      <c:layout>
        <c:manualLayout>
          <c:xMode val="edge"/>
          <c:yMode val="edge"/>
          <c:x val="4.5744480469353095E-2"/>
          <c:y val="1.6913385826771651E-2"/>
        </c:manualLayout>
      </c:layout>
      <c:overlay val="0"/>
      <c:spPr>
        <a:noFill/>
        <a:ln w="2539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'Полезна и жилищна площ'!$A$3</c:f>
              <c:strCache>
                <c:ptCount val="1"/>
                <c:pt idx="0">
                  <c:v>Полезна площ</c:v>
                </c:pt>
              </c:strCache>
            </c:strRef>
          </c:tx>
          <c:spPr>
            <a:solidFill>
              <a:srgbClr val="5B9BD5"/>
            </a:solidFill>
            <a:ln w="25398">
              <a:noFill/>
            </a:ln>
          </c:spPr>
          <c:invertIfNegative val="0"/>
          <c:cat>
            <c:strRef>
              <c:f>'Полезна и жилищна площ'!$K$2:$AE$2</c:f>
              <c:strCache>
                <c:ptCount val="21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</c:strCache>
            </c:strRef>
          </c:cat>
          <c:val>
            <c:numRef>
              <c:f>'Полезна и жилищна площ'!$K$3:$AE$3</c:f>
              <c:numCache>
                <c:formatCode>General</c:formatCode>
                <c:ptCount val="21"/>
                <c:pt idx="0">
                  <c:v>221429</c:v>
                </c:pt>
                <c:pt idx="1">
                  <c:v>210068</c:v>
                </c:pt>
                <c:pt idx="2">
                  <c:v>289404</c:v>
                </c:pt>
                <c:pt idx="3">
                  <c:v>391828</c:v>
                </c:pt>
                <c:pt idx="4">
                  <c:v>358394</c:v>
                </c:pt>
                <c:pt idx="5">
                  <c:v>299393</c:v>
                </c:pt>
                <c:pt idx="6">
                  <c:v>359224</c:v>
                </c:pt>
                <c:pt idx="7">
                  <c:v>416290</c:v>
                </c:pt>
                <c:pt idx="8">
                  <c:v>435036</c:v>
                </c:pt>
                <c:pt idx="9">
                  <c:v>412199</c:v>
                </c:pt>
                <c:pt idx="10">
                  <c:v>369830</c:v>
                </c:pt>
                <c:pt idx="11">
                  <c:v>530623</c:v>
                </c:pt>
                <c:pt idx="12">
                  <c:v>469013</c:v>
                </c:pt>
                <c:pt idx="13">
                  <c:v>425079</c:v>
                </c:pt>
                <c:pt idx="14">
                  <c:v>560747</c:v>
                </c:pt>
                <c:pt idx="15">
                  <c:v>583974</c:v>
                </c:pt>
                <c:pt idx="16">
                  <c:v>517943</c:v>
                </c:pt>
                <c:pt idx="17">
                  <c:v>581968</c:v>
                </c:pt>
                <c:pt idx="18">
                  <c:v>515861</c:v>
                </c:pt>
                <c:pt idx="19">
                  <c:v>624923</c:v>
                </c:pt>
                <c:pt idx="20">
                  <c:v>353238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2-4287-AD61-B7D1FE76AF43}"/>
            </c:ext>
          </c:extLst>
        </c:ser>
        <c:ser>
          <c:idx val="1"/>
          <c:order val="1"/>
          <c:tx>
            <c:strRef>
              <c:f>'Полезна и жилищна площ'!$A$4</c:f>
              <c:strCache>
                <c:ptCount val="1"/>
                <c:pt idx="0">
                  <c:v>Жилищна площ</c:v>
                </c:pt>
              </c:strCache>
            </c:strRef>
          </c:tx>
          <c:spPr>
            <a:solidFill>
              <a:srgbClr val="ED7D31"/>
            </a:solidFill>
            <a:ln w="25398">
              <a:noFill/>
            </a:ln>
          </c:spPr>
          <c:invertIfNegative val="0"/>
          <c:cat>
            <c:strRef>
              <c:f>'Полезна и жилищна площ'!$K$2:$AE$2</c:f>
              <c:strCache>
                <c:ptCount val="21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</c:strCache>
            </c:strRef>
          </c:cat>
          <c:val>
            <c:numRef>
              <c:f>'Полезна и жилищна площ'!$K$4:$AE$4</c:f>
              <c:numCache>
                <c:formatCode>General</c:formatCode>
                <c:ptCount val="21"/>
                <c:pt idx="0">
                  <c:v>158826</c:v>
                </c:pt>
                <c:pt idx="1">
                  <c:v>152206</c:v>
                </c:pt>
                <c:pt idx="2">
                  <c:v>204170</c:v>
                </c:pt>
                <c:pt idx="3">
                  <c:v>290652</c:v>
                </c:pt>
                <c:pt idx="4">
                  <c:v>274144</c:v>
                </c:pt>
                <c:pt idx="5">
                  <c:v>219340</c:v>
                </c:pt>
                <c:pt idx="6">
                  <c:v>275199</c:v>
                </c:pt>
                <c:pt idx="7">
                  <c:v>320197</c:v>
                </c:pt>
                <c:pt idx="8">
                  <c:v>342468</c:v>
                </c:pt>
                <c:pt idx="9">
                  <c:v>321855</c:v>
                </c:pt>
                <c:pt idx="10">
                  <c:v>285988</c:v>
                </c:pt>
                <c:pt idx="11">
                  <c:v>416263</c:v>
                </c:pt>
                <c:pt idx="12">
                  <c:v>372681</c:v>
                </c:pt>
                <c:pt idx="13">
                  <c:v>341405</c:v>
                </c:pt>
                <c:pt idx="14">
                  <c:v>446306</c:v>
                </c:pt>
                <c:pt idx="15">
                  <c:v>454989</c:v>
                </c:pt>
                <c:pt idx="16">
                  <c:v>404071</c:v>
                </c:pt>
                <c:pt idx="17">
                  <c:v>463314</c:v>
                </c:pt>
                <c:pt idx="18">
                  <c:v>410708</c:v>
                </c:pt>
                <c:pt idx="19">
                  <c:v>488461</c:v>
                </c:pt>
                <c:pt idx="20">
                  <c:v>274497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2-4287-AD61-B7D1FE76A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axId val="1015652368"/>
        <c:axId val="1"/>
      </c:barChart>
      <c:catAx>
        <c:axId val="101565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2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015652368"/>
        <c:crosses val="autoZero"/>
        <c:crossBetween val="between"/>
        <c:dispUnits>
          <c:builtInUnit val="thousands"/>
        </c:dispUnits>
      </c:valAx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/>
        <a:lstStyle/>
        <a:p>
          <a:pPr>
            <a:defRPr sz="900" b="0" i="0" u="none" strike="noStrike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DEA2-1B5D-4382-8503-A56F3203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Kamelia Blagoeva</cp:lastModifiedBy>
  <cp:revision>5</cp:revision>
  <dcterms:created xsi:type="dcterms:W3CDTF">2024-04-30T13:27:00Z</dcterms:created>
  <dcterms:modified xsi:type="dcterms:W3CDTF">2024-05-08T11:41:00Z</dcterms:modified>
</cp:coreProperties>
</file>