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FE92" w14:textId="6027B850" w:rsidR="004F647F" w:rsidRPr="004B7AB4" w:rsidRDefault="004F647F" w:rsidP="004B7AB4">
      <w:pPr>
        <w:rPr>
          <w:rFonts w:ascii="Calibri" w:hAnsi="Calibri" w:cs="Calibri"/>
          <w:b/>
          <w:bCs/>
          <w:sz w:val="24"/>
          <w:szCs w:val="24"/>
          <w:lang w:val="bg-BG"/>
        </w:rPr>
      </w:pP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СГП-Лийкс #2: </w:t>
      </w:r>
      <w:r w:rsidR="00565A6E" w:rsidRPr="004B7AB4">
        <w:rPr>
          <w:rFonts w:ascii="Calibri" w:hAnsi="Calibri" w:cs="Calibri"/>
          <w:b/>
          <w:bCs/>
          <w:sz w:val="24"/>
          <w:szCs w:val="24"/>
          <w:lang w:val="bg-BG"/>
        </w:rPr>
        <w:t>Лаптопи, телефон, д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>окументи, дискове, касети. Какви са иззетите доказателств</w:t>
      </w:r>
      <w:r w:rsidR="00633CDD" w:rsidRPr="004B7AB4">
        <w:rPr>
          <w:rFonts w:ascii="Calibri" w:hAnsi="Calibri" w:cs="Calibri"/>
          <w:b/>
          <w:bCs/>
          <w:sz w:val="24"/>
          <w:szCs w:val="24"/>
          <w:lang w:val="bg-BG"/>
        </w:rPr>
        <w:t>а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 от </w:t>
      </w:r>
      <w:r w:rsidR="00633CDD" w:rsidRPr="004B7AB4">
        <w:rPr>
          <w:rFonts w:ascii="Calibri" w:hAnsi="Calibri" w:cs="Calibri"/>
          <w:b/>
          <w:bCs/>
          <w:sz w:val="24"/>
          <w:szCs w:val="24"/>
          <w:lang w:val="bg-BG"/>
        </w:rPr>
        <w:t>имотите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 на Петьо Петров-Еврото и къде се намират сега</w:t>
      </w:r>
    </w:p>
    <w:p w14:paraId="77D806DF" w14:textId="65F2B3B5" w:rsidR="004F647F" w:rsidRPr="004B7AB4" w:rsidRDefault="004B7AB4" w:rsidP="004B7AB4">
      <w:pPr>
        <w:rPr>
          <w:rFonts w:ascii="Calibri" w:hAnsi="Calibri" w:cs="Calibri"/>
          <w:i/>
          <w:iCs/>
          <w:sz w:val="24"/>
          <w:szCs w:val="24"/>
          <w:lang w:val="bg-BG"/>
        </w:rPr>
      </w:pPr>
      <w:r w:rsidRPr="004B7AB4">
        <w:rPr>
          <w:rFonts w:ascii="Calibri" w:hAnsi="Calibri" w:cs="Calibri"/>
          <w:i/>
          <w:iCs/>
          <w:sz w:val="24"/>
          <w:szCs w:val="24"/>
          <w:lang w:val="bg-BG"/>
        </w:rPr>
        <w:t>21.03.2024</w:t>
      </w:r>
    </w:p>
    <w:p w14:paraId="0FDBE661" w14:textId="780AE162" w:rsidR="004B7AB4" w:rsidRDefault="004B7AB4" w:rsidP="00565A6E">
      <w:pPr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 xml:space="preserve">Днес Антикорупционният фонд (АКФ) публикува втори документ в поредицата си 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>СГП-Лийкс</w:t>
      </w:r>
      <w:r>
        <w:rPr>
          <w:rFonts w:ascii="Calibri" w:hAnsi="Calibri" w:cs="Calibri"/>
          <w:b/>
          <w:bCs/>
          <w:sz w:val="24"/>
          <w:szCs w:val="24"/>
          <w:lang w:val="bg-BG"/>
        </w:rPr>
        <w:t>.</w:t>
      </w:r>
    </w:p>
    <w:p w14:paraId="170F3D6D" w14:textId="4C8E3E85" w:rsidR="004B7AB4" w:rsidRDefault="004F647F" w:rsidP="00565A6E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4B7AB4">
        <w:rPr>
          <w:rFonts w:ascii="Calibri" w:hAnsi="Calibri" w:cs="Calibri"/>
          <w:sz w:val="24"/>
          <w:szCs w:val="24"/>
          <w:lang w:val="bg-BG"/>
        </w:rPr>
        <w:t xml:space="preserve">Това </w:t>
      </w:r>
      <w:r w:rsidR="00565A6E" w:rsidRPr="004B7AB4">
        <w:rPr>
          <w:rFonts w:ascii="Calibri" w:hAnsi="Calibri" w:cs="Calibri"/>
          <w:sz w:val="24"/>
          <w:szCs w:val="24"/>
          <w:lang w:val="bg-BG"/>
        </w:rPr>
        <w:t>е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>протокол</w:t>
      </w:r>
      <w:r w:rsidR="00565A6E" w:rsidRPr="004B7AB4">
        <w:rPr>
          <w:rFonts w:ascii="Calibri" w:hAnsi="Calibri" w:cs="Calibri"/>
          <w:b/>
          <w:bCs/>
          <w:sz w:val="24"/>
          <w:szCs w:val="24"/>
          <w:lang w:val="bg-BG"/>
        </w:rPr>
        <w:t>ът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 за претърсване </w:t>
      </w:r>
      <w:r w:rsidR="00565A6E" w:rsidRPr="004B7AB4">
        <w:rPr>
          <w:rFonts w:ascii="Calibri" w:hAnsi="Calibri" w:cs="Calibri"/>
          <w:b/>
          <w:bCs/>
          <w:sz w:val="24"/>
          <w:szCs w:val="24"/>
          <w:lang w:val="bg-BG"/>
        </w:rPr>
        <w:t>на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 един от имотите на Петьо Петров-Еврото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в София</w:t>
      </w:r>
      <w:r w:rsidR="00565A6E" w:rsidRPr="004B7AB4">
        <w:rPr>
          <w:rFonts w:ascii="Calibri" w:hAnsi="Calibri" w:cs="Calibri"/>
          <w:sz w:val="24"/>
          <w:szCs w:val="24"/>
          <w:lang w:val="bg-BG"/>
        </w:rPr>
        <w:t xml:space="preserve"> -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апартамент на улица “Свиленица” в близост до прочутия ресторант “Осемте джуджета”</w:t>
      </w:r>
      <w:r w:rsidR="00565A6E" w:rsidRPr="004B7AB4">
        <w:rPr>
          <w:rFonts w:ascii="Calibri" w:hAnsi="Calibri" w:cs="Calibri"/>
          <w:sz w:val="24"/>
          <w:szCs w:val="24"/>
          <w:lang w:val="bg-BG"/>
        </w:rPr>
        <w:t xml:space="preserve">, както и </w:t>
      </w:r>
      <w:r w:rsidR="00633CDD" w:rsidRPr="004B7AB4">
        <w:rPr>
          <w:rFonts w:ascii="Calibri" w:hAnsi="Calibri" w:cs="Calibri"/>
          <w:b/>
          <w:bCs/>
          <w:sz w:val="24"/>
          <w:szCs w:val="24"/>
          <w:lang w:val="bg-BG"/>
        </w:rPr>
        <w:t>опис</w:t>
      </w:r>
      <w:r w:rsidR="00565A6E"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 на иззетите веществени доказателства</w:t>
      </w:r>
      <w:r w:rsidR="00565A6E" w:rsidRPr="004B7AB4">
        <w:rPr>
          <w:rFonts w:ascii="Calibri" w:hAnsi="Calibri" w:cs="Calibri"/>
          <w:sz w:val="24"/>
          <w:szCs w:val="24"/>
          <w:lang w:val="bg-BG"/>
        </w:rPr>
        <w:t xml:space="preserve"> при претърсването на този и друг апартамент в същата сграда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. </w:t>
      </w:r>
    </w:p>
    <w:p w14:paraId="358C7F11" w14:textId="021FBFD7" w:rsidR="004F647F" w:rsidRPr="004B7AB4" w:rsidRDefault="00565A6E" w:rsidP="00565A6E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4B7AB4">
        <w:rPr>
          <w:rFonts w:ascii="Calibri" w:hAnsi="Calibri" w:cs="Calibri"/>
          <w:sz w:val="24"/>
          <w:szCs w:val="24"/>
          <w:lang w:val="bg-BG"/>
        </w:rPr>
        <w:t>Процесуално-следствените действия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 се </w:t>
      </w:r>
      <w:r w:rsidRPr="004B7AB4">
        <w:rPr>
          <w:rFonts w:ascii="Calibri" w:hAnsi="Calibri" w:cs="Calibri"/>
          <w:sz w:val="24"/>
          <w:szCs w:val="24"/>
          <w:lang w:val="bg-BG"/>
        </w:rPr>
        <w:t>извършват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 в малките часове на 30 май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2023 г. в хода на 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светкавично </w:t>
      </w:r>
      <w:r w:rsidR="004F647F" w:rsidRPr="004B7AB4">
        <w:rPr>
          <w:rFonts w:ascii="Calibri" w:hAnsi="Calibri" w:cs="Calibri"/>
          <w:b/>
          <w:bCs/>
          <w:sz w:val="24"/>
          <w:szCs w:val="24"/>
          <w:lang w:val="bg-BG"/>
        </w:rPr>
        <w:t>образувано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>то</w:t>
      </w:r>
      <w:r w:rsidR="004F647F"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 в 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>Софийска районна прокуратура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(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>СРП</w:t>
      </w:r>
      <w:r w:rsidRPr="004B7AB4">
        <w:rPr>
          <w:rFonts w:ascii="Calibri" w:hAnsi="Calibri" w:cs="Calibri"/>
          <w:sz w:val="24"/>
          <w:szCs w:val="24"/>
          <w:lang w:val="bg-BG"/>
        </w:rPr>
        <w:t>)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разследване, 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след като </w:t>
      </w:r>
      <w:r w:rsidR="00633CDD"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ден по-рано </w:t>
      </w:r>
      <w:r w:rsidR="004F647F" w:rsidRPr="004B7AB4">
        <w:rPr>
          <w:rFonts w:ascii="Calibri" w:hAnsi="Calibri" w:cs="Calibri"/>
          <w:b/>
          <w:bCs/>
          <w:sz w:val="24"/>
          <w:szCs w:val="24"/>
          <w:lang w:val="bg-BG"/>
        </w:rPr>
        <w:t>АКФ публикува получени по електронна поща снимки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 на усмихнатите Петров и </w:t>
      </w:r>
      <w:r w:rsidR="0094580B" w:rsidRPr="004B7AB4">
        <w:rPr>
          <w:rFonts w:ascii="Calibri" w:hAnsi="Calibri" w:cs="Calibri"/>
          <w:sz w:val="24"/>
          <w:szCs w:val="24"/>
          <w:lang w:val="bg-BG"/>
        </w:rPr>
        <w:t xml:space="preserve">тогава 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>заместник-главния прокурор Борислав Сарафов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пред „Осемте джуджета“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. </w:t>
      </w:r>
    </w:p>
    <w:p w14:paraId="7BF8DA7A" w14:textId="5C8803AA" w:rsidR="00633CDD" w:rsidRPr="004B7AB4" w:rsidRDefault="0094580B" w:rsidP="00565A6E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4B7AB4">
        <w:rPr>
          <w:rFonts w:ascii="Calibri" w:hAnsi="Calibri" w:cs="Calibri"/>
          <w:sz w:val="24"/>
          <w:szCs w:val="24"/>
          <w:lang w:val="bg-BG"/>
        </w:rPr>
        <w:t>Публикува</w:t>
      </w:r>
      <w:r w:rsidR="004B7AB4">
        <w:rPr>
          <w:rFonts w:ascii="Calibri" w:hAnsi="Calibri" w:cs="Calibri"/>
          <w:sz w:val="24"/>
          <w:szCs w:val="24"/>
          <w:lang w:val="bg-BG"/>
        </w:rPr>
        <w:t xml:space="preserve">ните днес </w:t>
      </w:r>
      <w:r w:rsidR="00565A6E" w:rsidRPr="004B7AB4">
        <w:rPr>
          <w:rFonts w:ascii="Calibri" w:hAnsi="Calibri" w:cs="Calibri"/>
          <w:sz w:val="24"/>
          <w:szCs w:val="24"/>
          <w:lang w:val="bg-BG"/>
        </w:rPr>
        <w:t xml:space="preserve">данни </w:t>
      </w:r>
      <w:r w:rsidR="004B7AB4">
        <w:rPr>
          <w:rFonts w:ascii="Calibri" w:hAnsi="Calibri" w:cs="Calibri"/>
          <w:sz w:val="24"/>
          <w:szCs w:val="24"/>
          <w:lang w:val="bg-BG"/>
        </w:rPr>
        <w:t xml:space="preserve">са </w:t>
      </w:r>
      <w:r w:rsidR="00565A6E" w:rsidRPr="004B7AB4">
        <w:rPr>
          <w:rFonts w:ascii="Calibri" w:hAnsi="Calibri" w:cs="Calibri"/>
          <w:sz w:val="24"/>
          <w:szCs w:val="24"/>
          <w:lang w:val="bg-BG"/>
        </w:rPr>
        <w:t>за събраните веществени доказателства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 само от </w:t>
      </w:r>
      <w:r w:rsidR="00633CDD" w:rsidRPr="004B7AB4">
        <w:rPr>
          <w:rFonts w:ascii="Calibri" w:hAnsi="Calibri" w:cs="Calibri"/>
          <w:sz w:val="24"/>
          <w:szCs w:val="24"/>
          <w:lang w:val="bg-BG"/>
        </w:rPr>
        <w:t xml:space="preserve">два от 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>претърсените</w:t>
      </w:r>
      <w:r w:rsidR="00633CDD" w:rsidRPr="004B7AB4">
        <w:rPr>
          <w:rFonts w:ascii="Calibri" w:hAnsi="Calibri" w:cs="Calibri"/>
          <w:sz w:val="24"/>
          <w:szCs w:val="24"/>
          <w:lang w:val="bg-BG"/>
        </w:rPr>
        <w:t xml:space="preserve"> през тази нощ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 имоти на Петров. </w:t>
      </w:r>
      <w:r w:rsidRPr="004B7AB4">
        <w:rPr>
          <w:rFonts w:ascii="Calibri" w:hAnsi="Calibri" w:cs="Calibri"/>
          <w:sz w:val="24"/>
          <w:szCs w:val="24"/>
          <w:lang w:val="bg-BG"/>
        </w:rPr>
        <w:t>Оттам са и</w:t>
      </w:r>
      <w:r w:rsidR="004F647F" w:rsidRPr="004B7AB4">
        <w:rPr>
          <w:rFonts w:ascii="Calibri" w:hAnsi="Calibri" w:cs="Calibri"/>
          <w:sz w:val="24"/>
          <w:szCs w:val="24"/>
          <w:lang w:val="bg-BG"/>
        </w:rPr>
        <w:t xml:space="preserve">ззети </w:t>
      </w:r>
      <w:r w:rsidR="00633CDD" w:rsidRPr="004B7AB4">
        <w:rPr>
          <w:rFonts w:ascii="Calibri" w:hAnsi="Calibri" w:cs="Calibri"/>
          <w:b/>
          <w:bCs/>
          <w:sz w:val="24"/>
          <w:szCs w:val="24"/>
          <w:lang w:val="bg-BG"/>
        </w:rPr>
        <w:t xml:space="preserve">два компютъра, един мобилен телефон, </w:t>
      </w:r>
      <w:r w:rsidR="004F647F" w:rsidRPr="004B7AB4">
        <w:rPr>
          <w:rFonts w:ascii="Calibri" w:hAnsi="Calibri" w:cs="Calibri"/>
          <w:b/>
          <w:bCs/>
          <w:sz w:val="24"/>
          <w:szCs w:val="24"/>
          <w:lang w:val="bg-BG"/>
        </w:rPr>
        <w:t>напечатани и ръчно изписани документи, както и различни носители - компактдискове, лентови носители, касети с ленти, дори една дискета.</w:t>
      </w:r>
    </w:p>
    <w:p w14:paraId="75C03622" w14:textId="0E427880" w:rsidR="00633CDD" w:rsidRPr="004B7AB4" w:rsidRDefault="00633CDD" w:rsidP="00565A6E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4B7AB4">
        <w:rPr>
          <w:rFonts w:ascii="Calibri" w:hAnsi="Calibri" w:cs="Calibri"/>
          <w:sz w:val="24"/>
          <w:szCs w:val="24"/>
          <w:lang w:val="bg-BG"/>
        </w:rPr>
        <w:t xml:space="preserve">Съдържанието </w:t>
      </w:r>
      <w:r w:rsidR="0094580B" w:rsidRPr="004B7AB4">
        <w:rPr>
          <w:rFonts w:ascii="Calibri" w:hAnsi="Calibri" w:cs="Calibri"/>
          <w:sz w:val="24"/>
          <w:szCs w:val="24"/>
          <w:lang w:val="bg-BG"/>
        </w:rPr>
        <w:t>на всички информационни носители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е неизвестно.</w:t>
      </w:r>
    </w:p>
    <w:p w14:paraId="7377AEB0" w14:textId="60D055C6" w:rsidR="004F647F" w:rsidRPr="00C56512" w:rsidRDefault="0094580B" w:rsidP="00565A6E">
      <w:pPr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  <w:r w:rsidRPr="004B7AB4">
        <w:rPr>
          <w:rFonts w:ascii="Calibri" w:hAnsi="Calibri" w:cs="Calibri"/>
          <w:sz w:val="24"/>
          <w:szCs w:val="24"/>
          <w:lang w:val="bg-BG"/>
        </w:rPr>
        <w:t>Тези веществени доказателства, заедно със събраните при другите действия по разследването, са изпратени на 09.06.2023 г. от СРП на Върховния касационен съд (ВКС)</w:t>
      </w:r>
      <w:r w:rsidR="005229A7" w:rsidRPr="004B7AB4">
        <w:rPr>
          <w:rFonts w:ascii="Calibri" w:hAnsi="Calibri" w:cs="Calibri"/>
          <w:sz w:val="24"/>
          <w:szCs w:val="24"/>
          <w:lang w:val="bg-BG"/>
        </w:rPr>
        <w:t>. Там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по новоприетия механизъм за независимо разследване на главния прокурор и неговите заместници трябва да </w:t>
      </w:r>
      <w:r w:rsidR="005229A7" w:rsidRPr="004B7AB4">
        <w:rPr>
          <w:rFonts w:ascii="Calibri" w:hAnsi="Calibri" w:cs="Calibri"/>
          <w:sz w:val="24"/>
          <w:szCs w:val="24"/>
          <w:lang w:val="bg-BG"/>
        </w:rPr>
        <w:t xml:space="preserve">се </w:t>
      </w:r>
      <w:r w:rsidRPr="004B7AB4">
        <w:rPr>
          <w:rFonts w:ascii="Calibri" w:hAnsi="Calibri" w:cs="Calibri"/>
          <w:sz w:val="24"/>
          <w:szCs w:val="24"/>
          <w:lang w:val="bg-BG"/>
        </w:rPr>
        <w:t>администрира</w:t>
      </w:r>
      <w:r w:rsidR="005229A7" w:rsidRPr="004B7AB4">
        <w:rPr>
          <w:rFonts w:ascii="Calibri" w:hAnsi="Calibri" w:cs="Calibri"/>
          <w:sz w:val="24"/>
          <w:szCs w:val="24"/>
          <w:lang w:val="bg-BG"/>
        </w:rPr>
        <w:t>т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сигналите срещу тях</w:t>
      </w:r>
      <w:r w:rsidR="005229A7" w:rsidRPr="004B7AB4">
        <w:rPr>
          <w:rFonts w:ascii="Calibri" w:hAnsi="Calibri" w:cs="Calibri"/>
          <w:sz w:val="24"/>
          <w:szCs w:val="24"/>
          <w:lang w:val="bg-BG"/>
        </w:rPr>
        <w:t>,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като </w:t>
      </w:r>
      <w:r w:rsidR="005229A7" w:rsidRPr="004B7AB4">
        <w:rPr>
          <w:rFonts w:ascii="Calibri" w:hAnsi="Calibri" w:cs="Calibri"/>
          <w:sz w:val="24"/>
          <w:szCs w:val="24"/>
          <w:lang w:val="bg-BG"/>
        </w:rPr>
        <w:t>се препратят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 към специалния прокурор</w:t>
      </w:r>
      <w:r w:rsidR="005229A7" w:rsidRPr="004B7AB4">
        <w:rPr>
          <w:rFonts w:ascii="Calibri" w:hAnsi="Calibri" w:cs="Calibri"/>
          <w:sz w:val="24"/>
          <w:szCs w:val="24"/>
          <w:lang w:val="bg-BG"/>
        </w:rPr>
        <w:t xml:space="preserve"> по разследването на високопоставените ръководители на прокуратурата. Докато се чака назначаването на такъв обаче и след като разследването на СРП е прието от СГП по компетентност (тъй като касае и други магистрати), </w:t>
      </w:r>
      <w:r w:rsidR="005229A7" w:rsidRPr="00C56512">
        <w:rPr>
          <w:rFonts w:ascii="Calibri" w:hAnsi="Calibri" w:cs="Calibri"/>
          <w:b/>
          <w:bCs/>
          <w:sz w:val="24"/>
          <w:szCs w:val="24"/>
          <w:lang w:val="bg-BG"/>
        </w:rPr>
        <w:t>прокурорът Йордан Петров от СГП изисква и получава тези веществени доказателства от заместник-председателя на ВКС</w:t>
      </w:r>
      <w:r w:rsidR="005229A7" w:rsidRPr="00C56512">
        <w:rPr>
          <w:rStyle w:val="FootnoteReference"/>
          <w:rFonts w:ascii="Calibri" w:hAnsi="Calibri" w:cs="Calibri"/>
          <w:b/>
          <w:bCs/>
          <w:sz w:val="24"/>
          <w:szCs w:val="24"/>
          <w:lang w:val="bg-BG"/>
        </w:rPr>
        <w:footnoteReference w:id="1"/>
      </w:r>
      <w:r w:rsidR="005229A7" w:rsidRPr="00C56512">
        <w:rPr>
          <w:rFonts w:ascii="Calibri" w:hAnsi="Calibri" w:cs="Calibri"/>
          <w:b/>
          <w:bCs/>
          <w:sz w:val="24"/>
          <w:szCs w:val="24"/>
          <w:lang w:val="bg-BG"/>
        </w:rPr>
        <w:t>.</w:t>
      </w:r>
    </w:p>
    <w:p w14:paraId="4FF657BB" w14:textId="3B90B1DE" w:rsidR="00AB708C" w:rsidRPr="004B7AB4" w:rsidRDefault="00AB708C" w:rsidP="00565A6E">
      <w:pPr>
        <w:jc w:val="both"/>
        <w:rPr>
          <w:rFonts w:ascii="Calibri" w:hAnsi="Calibri" w:cs="Calibri"/>
          <w:b/>
          <w:bCs/>
          <w:sz w:val="24"/>
          <w:szCs w:val="24"/>
          <w:lang w:val="bg-BG"/>
        </w:rPr>
      </w:pPr>
      <w:r w:rsidRPr="004B7AB4">
        <w:rPr>
          <w:rFonts w:ascii="Calibri" w:hAnsi="Calibri" w:cs="Calibri"/>
          <w:sz w:val="24"/>
          <w:szCs w:val="24"/>
          <w:lang w:val="bg-BG"/>
        </w:rPr>
        <w:t xml:space="preserve">Така във фактическата власт на СГП попадат множество веществени доказателства с неизвестно съдържание, които 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>потенциално биха могли да касаят редица административни ръководители в прокуратурата, в това число и такива на самата СГП</w:t>
      </w:r>
      <w:r w:rsidRPr="004B7AB4">
        <w:rPr>
          <w:rFonts w:ascii="Calibri" w:hAnsi="Calibri" w:cs="Calibri"/>
          <w:sz w:val="24"/>
          <w:szCs w:val="24"/>
          <w:lang w:val="bg-BG"/>
        </w:rPr>
        <w:t xml:space="preserve">. </w:t>
      </w:r>
      <w:r w:rsidRPr="004B7AB4">
        <w:rPr>
          <w:rFonts w:ascii="Calibri" w:hAnsi="Calibri" w:cs="Calibri"/>
          <w:b/>
          <w:bCs/>
          <w:sz w:val="24"/>
          <w:szCs w:val="24"/>
          <w:lang w:val="bg-BG"/>
        </w:rPr>
        <w:t>За чиято свързаност с престъпната мрежа около Петьо Еврото говорят няколко свидетели в разследването на СРП.</w:t>
      </w:r>
    </w:p>
    <w:p w14:paraId="7A3D64D6" w14:textId="27F331AE" w:rsidR="00AB708C" w:rsidRPr="004B7AB4" w:rsidRDefault="00AB708C" w:rsidP="00565A6E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4B7AB4">
        <w:rPr>
          <w:rFonts w:ascii="Calibri" w:hAnsi="Calibri" w:cs="Calibri"/>
          <w:sz w:val="24"/>
          <w:szCs w:val="24"/>
          <w:lang w:val="bg-BG"/>
        </w:rPr>
        <w:lastRenderedPageBreak/>
        <w:t xml:space="preserve">Към събраните материални доказателства от имотите на Еврото в България, трябва да се добавят и </w:t>
      </w:r>
      <w:r w:rsidRPr="00C56512">
        <w:rPr>
          <w:rFonts w:ascii="Calibri" w:hAnsi="Calibri" w:cs="Calibri"/>
          <w:b/>
          <w:bCs/>
          <w:sz w:val="24"/>
          <w:szCs w:val="24"/>
          <w:lang w:val="bg-BG"/>
        </w:rPr>
        <w:t>онези от негови имоти в Гърция след изпратени от СРП европейски заповеди за разследване до южната ни съседка, които също са се озовали в СГП</w:t>
      </w:r>
      <w:r w:rsidRPr="004B7AB4">
        <w:rPr>
          <w:rFonts w:ascii="Calibri" w:hAnsi="Calibri" w:cs="Calibri"/>
          <w:sz w:val="24"/>
          <w:szCs w:val="24"/>
          <w:lang w:val="bg-BG"/>
        </w:rPr>
        <w:t>. И за които слухове из кулоарите на правосъдието говорят, че били с много по-интересно съдържание, към което „нездрав интерес“ проявили някои административни ръководители в прокуратурата.</w:t>
      </w:r>
    </w:p>
    <w:p w14:paraId="48201C39" w14:textId="7112C4E1" w:rsidR="004F647F" w:rsidRPr="004B7AB4" w:rsidRDefault="00B4489A" w:rsidP="007E149D">
      <w:pPr>
        <w:jc w:val="both"/>
        <w:rPr>
          <w:rFonts w:ascii="Calibri" w:hAnsi="Calibri" w:cs="Calibri"/>
          <w:sz w:val="24"/>
          <w:szCs w:val="24"/>
          <w:lang w:val="bg-BG"/>
        </w:rPr>
      </w:pPr>
      <w:r w:rsidRPr="00910F09">
        <w:rPr>
          <w:rFonts w:ascii="Calibri" w:hAnsi="Calibri" w:cs="Calibri"/>
          <w:i/>
          <w:iCs/>
          <w:sz w:val="24"/>
          <w:szCs w:val="24"/>
          <w:lang w:val="bg-BG"/>
        </w:rPr>
        <w:t>„</w:t>
      </w:r>
      <w:r w:rsidR="007E149D" w:rsidRPr="00910F09">
        <w:rPr>
          <w:rFonts w:ascii="Calibri" w:hAnsi="Calibri" w:cs="Calibri"/>
          <w:i/>
          <w:iCs/>
          <w:sz w:val="24"/>
          <w:szCs w:val="24"/>
          <w:lang w:val="bg-BG"/>
        </w:rPr>
        <w:t>Какво всъщност е имало на тези информационни носители, иззети от имотите на Еврото в България и Гърция?</w:t>
      </w:r>
      <w:r w:rsidRPr="00910F09">
        <w:rPr>
          <w:rFonts w:ascii="Calibri" w:hAnsi="Calibri" w:cs="Calibri"/>
          <w:i/>
          <w:iCs/>
          <w:sz w:val="24"/>
          <w:szCs w:val="24"/>
          <w:lang w:val="bg-BG"/>
        </w:rPr>
        <w:t xml:space="preserve"> </w:t>
      </w:r>
      <w:r w:rsidR="007E149D" w:rsidRPr="00910F09">
        <w:rPr>
          <w:rFonts w:ascii="Calibri" w:hAnsi="Calibri" w:cs="Calibri"/>
          <w:i/>
          <w:iCs/>
          <w:sz w:val="24"/>
          <w:szCs w:val="24"/>
          <w:lang w:val="bg-BG"/>
        </w:rPr>
        <w:t xml:space="preserve">Едва ли някога ще научим. Предвид начина на администрирането им по настоящия казус и множеството </w:t>
      </w:r>
      <w:r w:rsidR="00FB24EE" w:rsidRPr="00910F09">
        <w:rPr>
          <w:rFonts w:ascii="Calibri" w:hAnsi="Calibri" w:cs="Calibri"/>
          <w:i/>
          <w:iCs/>
          <w:sz w:val="24"/>
          <w:szCs w:val="24"/>
          <w:lang w:val="bg-BG"/>
        </w:rPr>
        <w:t xml:space="preserve">публично </w:t>
      </w:r>
      <w:r w:rsidR="007E149D" w:rsidRPr="00910F09">
        <w:rPr>
          <w:rFonts w:ascii="Calibri" w:hAnsi="Calibri" w:cs="Calibri"/>
          <w:i/>
          <w:iCs/>
          <w:sz w:val="24"/>
          <w:szCs w:val="24"/>
          <w:lang w:val="bg-BG"/>
        </w:rPr>
        <w:t>известни данни за това какво се е случвало назад в годините с веществени доказателства по знакови дела</w:t>
      </w:r>
      <w:r w:rsidRPr="00910F09">
        <w:rPr>
          <w:rFonts w:ascii="Calibri" w:hAnsi="Calibri" w:cs="Calibri"/>
          <w:i/>
          <w:iCs/>
          <w:sz w:val="24"/>
          <w:szCs w:val="24"/>
          <w:lang w:val="bg-BG"/>
        </w:rPr>
        <w:t>“,</w:t>
      </w:r>
      <w:r>
        <w:rPr>
          <w:rFonts w:ascii="Calibri" w:hAnsi="Calibri" w:cs="Calibri"/>
          <w:sz w:val="24"/>
          <w:szCs w:val="24"/>
          <w:lang w:val="bg-BG"/>
        </w:rPr>
        <w:t xml:space="preserve"> коментира Николай Стайков от екипа на Антикорупционния фонд.  </w:t>
      </w:r>
    </w:p>
    <w:p w14:paraId="5A3F09E8" w14:textId="77777777" w:rsidR="004F647F" w:rsidRPr="004B7AB4" w:rsidRDefault="004F647F" w:rsidP="00AC0175">
      <w:pPr>
        <w:jc w:val="center"/>
        <w:rPr>
          <w:rFonts w:ascii="Calibri" w:hAnsi="Calibri" w:cs="Calibri"/>
          <w:b/>
          <w:bCs/>
          <w:sz w:val="24"/>
          <w:szCs w:val="24"/>
          <w:lang w:val="bg-BG"/>
        </w:rPr>
      </w:pPr>
    </w:p>
    <w:p w14:paraId="2BF18B89" w14:textId="77777777" w:rsidR="004F647F" w:rsidRPr="004B7AB4" w:rsidRDefault="004F647F" w:rsidP="00AC0175">
      <w:pPr>
        <w:jc w:val="center"/>
        <w:rPr>
          <w:rFonts w:ascii="Calibri" w:hAnsi="Calibri" w:cs="Calibri"/>
          <w:b/>
          <w:bCs/>
          <w:sz w:val="24"/>
          <w:szCs w:val="24"/>
          <w:lang w:val="bg-BG"/>
        </w:rPr>
      </w:pPr>
    </w:p>
    <w:sectPr w:rsidR="004F647F" w:rsidRPr="004B7A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A259" w14:textId="77777777" w:rsidR="00A01B98" w:rsidRDefault="00A01B98" w:rsidP="005229A7">
      <w:pPr>
        <w:spacing w:after="0" w:line="240" w:lineRule="auto"/>
      </w:pPr>
      <w:r>
        <w:separator/>
      </w:r>
    </w:p>
  </w:endnote>
  <w:endnote w:type="continuationSeparator" w:id="0">
    <w:p w14:paraId="2470BEDF" w14:textId="77777777" w:rsidR="00A01B98" w:rsidRDefault="00A01B98" w:rsidP="0052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67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58F7A" w14:textId="7CDDFBFA" w:rsidR="004B7AB4" w:rsidRDefault="004B7A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6BFA6" w14:textId="77777777" w:rsidR="004B7AB4" w:rsidRDefault="004B7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AAD0" w14:textId="77777777" w:rsidR="00A01B98" w:rsidRDefault="00A01B98" w:rsidP="005229A7">
      <w:pPr>
        <w:spacing w:after="0" w:line="240" w:lineRule="auto"/>
      </w:pPr>
      <w:r>
        <w:separator/>
      </w:r>
    </w:p>
  </w:footnote>
  <w:footnote w:type="continuationSeparator" w:id="0">
    <w:p w14:paraId="1CD685E2" w14:textId="77777777" w:rsidR="00A01B98" w:rsidRDefault="00A01B98" w:rsidP="005229A7">
      <w:pPr>
        <w:spacing w:after="0" w:line="240" w:lineRule="auto"/>
      </w:pPr>
      <w:r>
        <w:continuationSeparator/>
      </w:r>
    </w:p>
  </w:footnote>
  <w:footnote w:id="1">
    <w:p w14:paraId="5BFEF692" w14:textId="14A16F05" w:rsidR="005229A7" w:rsidRPr="005229A7" w:rsidRDefault="005229A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="004B7AB4" w:rsidRPr="00C56512">
        <w:rPr>
          <w:rFonts w:ascii="Calibri" w:hAnsi="Calibri" w:cs="Calibri"/>
          <w:b/>
          <w:bCs/>
          <w:sz w:val="24"/>
          <w:szCs w:val="24"/>
          <w:lang w:val="bg-BG"/>
        </w:rPr>
        <w:t>П</w:t>
      </w:r>
      <w:r w:rsidR="004B7AB4" w:rsidRPr="00C56512">
        <w:rPr>
          <w:rFonts w:ascii="Calibri" w:hAnsi="Calibri" w:cs="Calibri"/>
          <w:b/>
          <w:bCs/>
          <w:sz w:val="24"/>
          <w:szCs w:val="24"/>
          <w:lang w:val="bg-BG"/>
        </w:rPr>
        <w:t>одробно описание на всички тези събития и какво е притеснителното около тях</w:t>
      </w:r>
      <w:r w:rsidR="004B7AB4" w:rsidRPr="00C56512">
        <w:rPr>
          <w:rFonts w:ascii="Calibri" w:hAnsi="Calibri" w:cs="Calibri"/>
          <w:b/>
          <w:bCs/>
          <w:sz w:val="24"/>
          <w:szCs w:val="24"/>
          <w:lang w:val="bg-BG"/>
        </w:rPr>
        <w:t xml:space="preserve">: </w:t>
      </w:r>
      <w:r w:rsidR="004B7AB4" w:rsidRPr="00C56512">
        <w:rPr>
          <w:b/>
          <w:bCs/>
        </w:rPr>
        <w:t xml:space="preserve"> </w:t>
      </w:r>
      <w:hyperlink r:id="rId1" w:history="1">
        <w:r w:rsidRPr="005229A7">
          <w:rPr>
            <w:rStyle w:val="Hyperlink"/>
          </w:rPr>
          <w:t>https://acf.bg/bg/edin-ot-anonimnite-svideteli-po-prepi/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75"/>
    <w:rsid w:val="000E76A0"/>
    <w:rsid w:val="001643EB"/>
    <w:rsid w:val="001A51EE"/>
    <w:rsid w:val="001D6422"/>
    <w:rsid w:val="003A7CC0"/>
    <w:rsid w:val="004439FD"/>
    <w:rsid w:val="004B7AB4"/>
    <w:rsid w:val="004F647F"/>
    <w:rsid w:val="005036CB"/>
    <w:rsid w:val="0050508C"/>
    <w:rsid w:val="005229A7"/>
    <w:rsid w:val="00565A6E"/>
    <w:rsid w:val="00633CDD"/>
    <w:rsid w:val="00670601"/>
    <w:rsid w:val="006A5326"/>
    <w:rsid w:val="00752C3D"/>
    <w:rsid w:val="00757E78"/>
    <w:rsid w:val="007E149D"/>
    <w:rsid w:val="008645E1"/>
    <w:rsid w:val="00910F09"/>
    <w:rsid w:val="0094580B"/>
    <w:rsid w:val="009E39B9"/>
    <w:rsid w:val="00A01B98"/>
    <w:rsid w:val="00AB708C"/>
    <w:rsid w:val="00AC0175"/>
    <w:rsid w:val="00AD0205"/>
    <w:rsid w:val="00B4489A"/>
    <w:rsid w:val="00C56512"/>
    <w:rsid w:val="00D153F2"/>
    <w:rsid w:val="00DE0E5F"/>
    <w:rsid w:val="00EC201D"/>
    <w:rsid w:val="00F915DF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504A"/>
  <w15:chartTrackingRefBased/>
  <w15:docId w15:val="{667F7601-4A8E-4D4E-BD1D-6E34A41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17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29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9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B4"/>
  </w:style>
  <w:style w:type="paragraph" w:styleId="Footer">
    <w:name w:val="footer"/>
    <w:basedOn w:val="Normal"/>
    <w:link w:val="FooterChar"/>
    <w:uiPriority w:val="99"/>
    <w:unhideWhenUsed/>
    <w:rsid w:val="004B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cf.bg/bg/edin-ot-anonimnite-svideteli-po-prep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02E9-830E-463E-8CF2-54FB8752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Yankulov</dc:creator>
  <cp:keywords/>
  <dc:description/>
  <cp:lastModifiedBy>Stefan Krastev</cp:lastModifiedBy>
  <cp:revision>7</cp:revision>
  <dcterms:created xsi:type="dcterms:W3CDTF">2024-03-20T20:46:00Z</dcterms:created>
  <dcterms:modified xsi:type="dcterms:W3CDTF">2024-03-21T06:10:00Z</dcterms:modified>
</cp:coreProperties>
</file>