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D52C05" w14:textId="77777777" w:rsidR="007F32AE" w:rsidRDefault="007F32AE" w:rsidP="00605C14">
      <w:pPr>
        <w:spacing w:line="276" w:lineRule="auto"/>
        <w:ind w:right="272"/>
        <w:rPr>
          <w:rFonts w:asciiTheme="minorHAnsi" w:hAnsiTheme="minorHAnsi" w:cstheme="minorHAnsi"/>
          <w:b/>
          <w:bCs/>
          <w:sz w:val="32"/>
          <w:szCs w:val="32"/>
          <w:lang w:val="bg-BG"/>
        </w:rPr>
      </w:pPr>
    </w:p>
    <w:p w14:paraId="133B4152" w14:textId="6075EB6A" w:rsidR="00C5788F" w:rsidRPr="00605C14" w:rsidRDefault="00C5788F" w:rsidP="00C5788F">
      <w:pPr>
        <w:spacing w:line="276" w:lineRule="auto"/>
        <w:ind w:right="272"/>
        <w:jc w:val="center"/>
        <w:rPr>
          <w:b/>
          <w:bCs/>
          <w:sz w:val="32"/>
          <w:szCs w:val="32"/>
          <w:lang w:val="bg-BG"/>
        </w:rPr>
      </w:pPr>
      <w:r w:rsidRPr="00605C14">
        <w:rPr>
          <w:b/>
          <w:bCs/>
          <w:sz w:val="32"/>
          <w:szCs w:val="32"/>
          <w:lang w:val="bg-BG"/>
        </w:rPr>
        <w:t>ПОЗИЦИЯ</w:t>
      </w:r>
    </w:p>
    <w:p w14:paraId="5CC245F0" w14:textId="5FB73A0F" w:rsidR="00C5788F" w:rsidRPr="00605C14" w:rsidRDefault="00C5788F" w:rsidP="00C5788F">
      <w:pPr>
        <w:spacing w:line="276" w:lineRule="auto"/>
        <w:ind w:right="272"/>
        <w:jc w:val="center"/>
        <w:rPr>
          <w:b/>
          <w:bCs/>
          <w:sz w:val="28"/>
          <w:szCs w:val="28"/>
          <w:lang w:val="bg-BG"/>
        </w:rPr>
      </w:pPr>
      <w:r w:rsidRPr="00605C14">
        <w:rPr>
          <w:b/>
          <w:bCs/>
          <w:sz w:val="28"/>
          <w:szCs w:val="28"/>
          <w:lang w:val="bg-BG"/>
        </w:rPr>
        <w:t>на Конфедерация на труда „Подкрепа“</w:t>
      </w:r>
    </w:p>
    <w:p w14:paraId="33576629" w14:textId="1D70379D" w:rsidR="00C5788F" w:rsidRPr="00605C14" w:rsidRDefault="00C5788F" w:rsidP="00605C14">
      <w:pPr>
        <w:spacing w:line="276" w:lineRule="auto"/>
        <w:ind w:right="272"/>
        <w:jc w:val="center"/>
        <w:rPr>
          <w:sz w:val="28"/>
          <w:szCs w:val="28"/>
          <w:lang w:val="bg-BG"/>
        </w:rPr>
      </w:pPr>
      <w:r w:rsidRPr="00605C14">
        <w:rPr>
          <w:b/>
          <w:bCs/>
          <w:sz w:val="28"/>
          <w:szCs w:val="28"/>
          <w:lang w:val="bg-BG"/>
        </w:rPr>
        <w:t>Относно</w:t>
      </w:r>
      <w:r w:rsidRPr="00605C14">
        <w:rPr>
          <w:sz w:val="28"/>
          <w:szCs w:val="28"/>
          <w:lang w:val="bg-BG"/>
        </w:rPr>
        <w:t>:</w:t>
      </w:r>
      <w:r w:rsidR="00605C14" w:rsidRPr="00605C14">
        <w:rPr>
          <w:sz w:val="22"/>
          <w:szCs w:val="22"/>
        </w:rPr>
        <w:t xml:space="preserve"> </w:t>
      </w:r>
      <w:r w:rsidR="00605C14" w:rsidRPr="00605C14">
        <w:rPr>
          <w:sz w:val="28"/>
          <w:szCs w:val="28"/>
          <w:lang w:val="bg-BG"/>
        </w:rPr>
        <w:t>Либерализация на пазара на електроенергия– премахване на регулираните цени за битови потребители</w:t>
      </w:r>
    </w:p>
    <w:p w14:paraId="699A014B" w14:textId="24D94513" w:rsidR="00C5788F" w:rsidRDefault="00C5788F" w:rsidP="00C5788F">
      <w:pPr>
        <w:ind w:right="272"/>
        <w:jc w:val="both"/>
        <w:rPr>
          <w:rFonts w:asciiTheme="minorHAnsi" w:hAnsiTheme="minorHAnsi" w:cstheme="minorHAnsi"/>
          <w:sz w:val="24"/>
          <w:szCs w:val="24"/>
          <w:lang w:val="bg-BG"/>
        </w:rPr>
      </w:pPr>
    </w:p>
    <w:p w14:paraId="3E3BAE03" w14:textId="77777777" w:rsidR="00C5788F" w:rsidRDefault="00C5788F" w:rsidP="00C5788F">
      <w:pPr>
        <w:ind w:right="272"/>
        <w:jc w:val="both"/>
        <w:rPr>
          <w:rFonts w:asciiTheme="minorHAnsi" w:hAnsiTheme="minorHAnsi" w:cstheme="minorHAnsi"/>
          <w:sz w:val="24"/>
          <w:szCs w:val="24"/>
          <w:lang w:val="bg-BG"/>
        </w:rPr>
      </w:pPr>
    </w:p>
    <w:p w14:paraId="5894C580" w14:textId="77777777" w:rsidR="00605C14" w:rsidRPr="00605C14" w:rsidRDefault="00605C14" w:rsidP="00605C14">
      <w:pPr>
        <w:suppressAutoHyphens w:val="0"/>
        <w:spacing w:after="160" w:line="259" w:lineRule="auto"/>
        <w:ind w:firstLine="720"/>
        <w:jc w:val="both"/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</w:pPr>
      <w:r w:rsidRPr="00605C14"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  <w:t>В условията на висока инфлация и неясноти относно енергийните цени, във връзка с протичащите геополитически конфликти, санкции и паралелно закриване на част от българската енергийна система (мини и ТЕЦ-ове), както и отчитайки равнището на доходите на домакинствата спрямо необходимата издръжка на живот и прогнозите за инфлационните процеси и ръста на доходите, предлагаме:</w:t>
      </w:r>
    </w:p>
    <w:p w14:paraId="5E69A434" w14:textId="77777777" w:rsidR="00605C14" w:rsidRPr="00605C14" w:rsidRDefault="00605C14" w:rsidP="00605C14">
      <w:pPr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</w:pPr>
      <w:bookmarkStart w:id="0" w:name="_Hlk161057084"/>
      <w:r w:rsidRPr="00605C14"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  <w:t>Отлагане на влизането в сила на либерализацията на цените за битови потребители с поне една година</w:t>
      </w:r>
      <w:bookmarkEnd w:id="0"/>
      <w:r w:rsidRPr="00605C14"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  <w:t>.</w:t>
      </w:r>
    </w:p>
    <w:p w14:paraId="15CD3D87" w14:textId="77777777" w:rsidR="00605C14" w:rsidRPr="00605C14" w:rsidRDefault="00605C14" w:rsidP="00605C14">
      <w:pPr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</w:pPr>
      <w:r w:rsidRPr="00605C14"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  <w:t xml:space="preserve"> Ясно разписани и одобрени от социалните партньори планове за бъдещето на българската енергетика, работещите в сектора и цените на електроенергията, на база мощности, потребление, съхранение, внос.</w:t>
      </w:r>
    </w:p>
    <w:p w14:paraId="7DBE2753" w14:textId="77777777" w:rsidR="00605C14" w:rsidRPr="00605C14" w:rsidRDefault="00605C14" w:rsidP="00605C14">
      <w:pPr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</w:pPr>
      <w:r w:rsidRPr="00605C14"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  <w:t>Ясен механизъм за определяне на цената за всички битови потребители и начина на компенсиране на битовите потребители за преходния период между регулирани цени и борсови цени на електроенергията, който да защити максимално потребителите от чувствителен скок в цената.</w:t>
      </w:r>
    </w:p>
    <w:p w14:paraId="02F79FB4" w14:textId="77777777" w:rsidR="00605C14" w:rsidRPr="00605C14" w:rsidRDefault="00605C14" w:rsidP="00605C14">
      <w:pPr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</w:pPr>
      <w:r w:rsidRPr="00605C14"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  <w:t>Да се гарантира, че компенсациите са финансово обезпечени.</w:t>
      </w:r>
    </w:p>
    <w:p w14:paraId="70B67C4D" w14:textId="77777777" w:rsidR="00605C14" w:rsidRPr="00605C14" w:rsidRDefault="00605C14" w:rsidP="00605C14">
      <w:pPr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</w:pPr>
      <w:r w:rsidRPr="00605C14"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  <w:t>Премахване на автоматичния механизъм за увеличение на цената на електроенергията на база инфлация, който е в интерес единствено на доставчиците, но не и на потребителите.</w:t>
      </w:r>
    </w:p>
    <w:p w14:paraId="23CB93DB" w14:textId="77777777" w:rsidR="00605C14" w:rsidRPr="00605C14" w:rsidRDefault="00605C14" w:rsidP="00605C14">
      <w:pPr>
        <w:suppressAutoHyphens w:val="0"/>
        <w:spacing w:after="160" w:line="259" w:lineRule="auto"/>
        <w:jc w:val="both"/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</w:pPr>
    </w:p>
    <w:p w14:paraId="53F4091B" w14:textId="77777777" w:rsidR="00605C14" w:rsidRPr="00605C14" w:rsidRDefault="00605C14" w:rsidP="00605C14">
      <w:pPr>
        <w:suppressAutoHyphens w:val="0"/>
        <w:spacing w:after="160" w:line="259" w:lineRule="auto"/>
        <w:ind w:firstLine="709"/>
        <w:jc w:val="both"/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</w:pPr>
      <w:r w:rsidRPr="00605C14"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  <w:t>МОТИВИ:</w:t>
      </w:r>
    </w:p>
    <w:p w14:paraId="540E34C3" w14:textId="77777777" w:rsidR="00605C14" w:rsidRPr="00605C14" w:rsidRDefault="00605C14" w:rsidP="00605C14">
      <w:pPr>
        <w:suppressAutoHyphens w:val="0"/>
        <w:spacing w:after="160" w:line="259" w:lineRule="auto"/>
        <w:ind w:firstLine="709"/>
        <w:jc w:val="both"/>
        <w:rPr>
          <w:rFonts w:eastAsia="Calibri"/>
          <w:b/>
          <w:bCs/>
          <w:kern w:val="2"/>
          <w:sz w:val="28"/>
          <w:szCs w:val="22"/>
          <w:lang w:val="bg-BG" w:eastAsia="en-US"/>
          <w14:ligatures w14:val="standardContextual"/>
        </w:rPr>
      </w:pPr>
      <w:r w:rsidRPr="00605C14">
        <w:rPr>
          <w:rFonts w:eastAsia="Calibri"/>
          <w:b/>
          <w:bCs/>
          <w:kern w:val="2"/>
          <w:sz w:val="28"/>
          <w:szCs w:val="22"/>
          <w:lang w:val="bg-BG" w:eastAsia="en-US"/>
          <w14:ligatures w14:val="standardContextual"/>
        </w:rPr>
        <w:t>По т.1 от предложенията - Отлагане на влизането в сила на либерализацията на цените за битови потребители с поне една година:</w:t>
      </w:r>
    </w:p>
    <w:p w14:paraId="400B0285" w14:textId="77777777" w:rsidR="00605C14" w:rsidRPr="00605C14" w:rsidRDefault="00605C14" w:rsidP="00605C14">
      <w:pPr>
        <w:suppressAutoHyphens w:val="0"/>
        <w:spacing w:after="160" w:line="259" w:lineRule="auto"/>
        <w:ind w:firstLine="709"/>
        <w:jc w:val="both"/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</w:pPr>
      <w:r w:rsidRPr="00605C14"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  <w:t>Нормативната уредба не гарантира прозрачност, предсказуемост и сигурност за потребителите - каква ще е цената на електроенергията за преходния период, като нормативната уредба предвижда:</w:t>
      </w:r>
    </w:p>
    <w:p w14:paraId="016C6E74" w14:textId="77777777" w:rsidR="00605C14" w:rsidRPr="00605C14" w:rsidRDefault="00605C14" w:rsidP="00605C14">
      <w:pPr>
        <w:numPr>
          <w:ilvl w:val="0"/>
          <w:numId w:val="13"/>
        </w:numPr>
        <w:suppressAutoHyphens w:val="0"/>
        <w:spacing w:after="160" w:line="259" w:lineRule="auto"/>
        <w:contextualSpacing/>
        <w:jc w:val="both"/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</w:pPr>
      <w:r w:rsidRPr="00605C14"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  <w:t xml:space="preserve">Да се определя ежемесечна компенсация на </w:t>
      </w:r>
      <w:r w:rsidRPr="00605C14">
        <w:rPr>
          <w:rFonts w:eastAsia="Calibri"/>
          <w:b/>
          <w:bCs/>
          <w:kern w:val="2"/>
          <w:sz w:val="28"/>
          <w:szCs w:val="22"/>
          <w:lang w:val="bg-BG" w:eastAsia="en-US"/>
          <w14:ligatures w14:val="standardContextual"/>
        </w:rPr>
        <w:t>част от разходите на битовите потребители</w:t>
      </w:r>
      <w:r w:rsidRPr="00605C14"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  <w:t xml:space="preserve"> (чл.21, ал.1, т.8в от ЗЕ) с Решение на МС или със Закона за Държавния бюджет;</w:t>
      </w:r>
    </w:p>
    <w:p w14:paraId="37D60C37" w14:textId="77777777" w:rsidR="00605C14" w:rsidRPr="00605C14" w:rsidRDefault="00605C14" w:rsidP="00605C14">
      <w:pPr>
        <w:numPr>
          <w:ilvl w:val="0"/>
          <w:numId w:val="13"/>
        </w:numPr>
        <w:suppressAutoHyphens w:val="0"/>
        <w:spacing w:after="160" w:line="259" w:lineRule="auto"/>
        <w:contextualSpacing/>
        <w:jc w:val="both"/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</w:pPr>
      <w:r w:rsidRPr="00605C14"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  <w:lastRenderedPageBreak/>
        <w:t xml:space="preserve">Компенсацията </w:t>
      </w:r>
      <w:r w:rsidRPr="00605C14">
        <w:rPr>
          <w:rFonts w:eastAsia="Calibri"/>
          <w:b/>
          <w:bCs/>
          <w:kern w:val="2"/>
          <w:sz w:val="28"/>
          <w:szCs w:val="22"/>
          <w:lang w:val="bg-BG" w:eastAsia="en-US"/>
          <w14:ligatures w14:val="standardContextual"/>
        </w:rPr>
        <w:t>„може“ да бъде за част или за цялото количество енергия</w:t>
      </w:r>
      <w:r w:rsidRPr="00605C14"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  <w:t xml:space="preserve"> (чл.21, ал.1, т.8в от ЗЕ);</w:t>
      </w:r>
    </w:p>
    <w:p w14:paraId="299F7D0A" w14:textId="77777777" w:rsidR="00605C14" w:rsidRPr="00605C14" w:rsidRDefault="00605C14" w:rsidP="00605C14">
      <w:pPr>
        <w:numPr>
          <w:ilvl w:val="0"/>
          <w:numId w:val="13"/>
        </w:numPr>
        <w:suppressAutoHyphens w:val="0"/>
        <w:spacing w:after="160" w:line="259" w:lineRule="auto"/>
        <w:contextualSpacing/>
        <w:jc w:val="both"/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</w:pPr>
      <w:r w:rsidRPr="00605C14"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  <w:t xml:space="preserve">Компенсацията </w:t>
      </w:r>
      <w:r w:rsidRPr="00605C14">
        <w:rPr>
          <w:rFonts w:eastAsia="Calibri"/>
          <w:b/>
          <w:bCs/>
          <w:kern w:val="2"/>
          <w:sz w:val="28"/>
          <w:szCs w:val="22"/>
          <w:lang w:val="bg-BG" w:eastAsia="en-US"/>
          <w14:ligatures w14:val="standardContextual"/>
        </w:rPr>
        <w:t>„може“ да бъде диференцирана според количеството</w:t>
      </w:r>
      <w:r w:rsidRPr="00605C14"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  <w:t xml:space="preserve"> потребена ел.енергия.</w:t>
      </w:r>
    </w:p>
    <w:p w14:paraId="668CAC84" w14:textId="77777777" w:rsidR="00605C14" w:rsidRPr="00605C14" w:rsidRDefault="00605C14" w:rsidP="00605C14">
      <w:pPr>
        <w:numPr>
          <w:ilvl w:val="0"/>
          <w:numId w:val="13"/>
        </w:numPr>
        <w:suppressAutoHyphens w:val="0"/>
        <w:spacing w:after="160" w:line="259" w:lineRule="auto"/>
        <w:contextualSpacing/>
        <w:jc w:val="both"/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</w:pPr>
      <w:r w:rsidRPr="00605C14"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  <w:t xml:space="preserve">Съгласно чл.36б от ЗЕ </w:t>
      </w:r>
      <w:r w:rsidRPr="00605C14">
        <w:rPr>
          <w:rFonts w:eastAsia="Calibri"/>
          <w:b/>
          <w:bCs/>
          <w:kern w:val="2"/>
          <w:sz w:val="28"/>
          <w:szCs w:val="22"/>
          <w:lang w:val="bg-BG" w:eastAsia="en-US"/>
          <w14:ligatures w14:val="standardContextual"/>
        </w:rPr>
        <w:t xml:space="preserve">компенсациите за битовите потребители ще се поемат от Фонд </w:t>
      </w:r>
      <w:bookmarkStart w:id="1" w:name="_Hlk161054673"/>
      <w:r w:rsidRPr="00605C14">
        <w:rPr>
          <w:rFonts w:eastAsia="Calibri"/>
          <w:b/>
          <w:bCs/>
          <w:kern w:val="2"/>
          <w:sz w:val="28"/>
          <w:szCs w:val="22"/>
          <w:lang w:val="bg-BG" w:eastAsia="en-US"/>
          <w14:ligatures w14:val="standardContextual"/>
        </w:rPr>
        <w:t>„Сигурност на електроенергийните системи“</w:t>
      </w:r>
      <w:bookmarkEnd w:id="1"/>
      <w:r w:rsidRPr="00605C14"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  <w:t xml:space="preserve"> на база договор между фонда и крайния снабдител. В същото време </w:t>
      </w:r>
      <w:r w:rsidRPr="00605C14">
        <w:rPr>
          <w:rFonts w:eastAsia="Calibri"/>
          <w:b/>
          <w:bCs/>
          <w:kern w:val="2"/>
          <w:sz w:val="28"/>
          <w:szCs w:val="22"/>
          <w:lang w:val="bg-BG" w:eastAsia="en-US"/>
          <w14:ligatures w14:val="standardContextual"/>
        </w:rPr>
        <w:t>Фондът няма ресурс, за да поеме подобни плащания към днешна дата</w:t>
      </w:r>
      <w:r w:rsidRPr="00605C14"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  <w:t>.</w:t>
      </w:r>
    </w:p>
    <w:p w14:paraId="3DC33386" w14:textId="77777777" w:rsidR="00605C14" w:rsidRPr="00605C14" w:rsidRDefault="00605C14" w:rsidP="00605C14">
      <w:pPr>
        <w:suppressAutoHyphens w:val="0"/>
        <w:spacing w:after="160" w:line="259" w:lineRule="auto"/>
        <w:ind w:firstLine="709"/>
        <w:jc w:val="both"/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</w:pPr>
    </w:p>
    <w:p w14:paraId="049C60EB" w14:textId="77777777" w:rsidR="00605C14" w:rsidRPr="00605C14" w:rsidRDefault="00605C14" w:rsidP="00605C14">
      <w:pPr>
        <w:suppressAutoHyphens w:val="0"/>
        <w:spacing w:after="160" w:line="259" w:lineRule="auto"/>
        <w:ind w:firstLine="709"/>
        <w:jc w:val="both"/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</w:pPr>
      <w:r w:rsidRPr="00605C14"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  <w:t xml:space="preserve">Нормативната база регламентира ред и условия, които не създават </w:t>
      </w:r>
      <w:r w:rsidRPr="00605C14">
        <w:rPr>
          <w:rFonts w:eastAsia="Calibri"/>
          <w:b/>
          <w:bCs/>
          <w:kern w:val="2"/>
          <w:sz w:val="28"/>
          <w:szCs w:val="22"/>
          <w:lang w:val="bg-BG" w:eastAsia="en-US"/>
          <w14:ligatures w14:val="standardContextual"/>
        </w:rPr>
        <w:t>достатъчна защита от прекомерно увеличение на цените на електроенергията за бита</w:t>
      </w:r>
      <w:r w:rsidRPr="00605C14"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  <w:t>, като това ще се извършва с акт на МС или със Закона за ДБ. Вероятно цената на тока за бита се поставя в пряка зависимост от възможностите на бюджета и на Фонда „Сигурност на електроенергийните системи“. Многото „може“ в ЗЕ предполагат, че защитата на битовите потребители може да се окаже неефикасна.</w:t>
      </w:r>
    </w:p>
    <w:p w14:paraId="7E3EC48D" w14:textId="77777777" w:rsidR="00605C14" w:rsidRPr="00605C14" w:rsidRDefault="00605C14" w:rsidP="00605C14">
      <w:pPr>
        <w:suppressAutoHyphens w:val="0"/>
        <w:spacing w:after="160" w:line="259" w:lineRule="auto"/>
        <w:ind w:firstLine="709"/>
        <w:jc w:val="both"/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</w:pPr>
      <w:r w:rsidRPr="00605C14"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  <w:t>Не става ясно за кого (за всеки, за домакинства под линия на бедност, енергийна бедност и т.н.), за какво количество (част или диференцирано) и най-вече при какви цени ще се изчисляват компенсациите, а остават броени месеци до влизане в сила на разпоредбите на ЗЕ. В допълнение линията на бедност в размер на 526 лева е повече от скромна и всъщност този праг гарантира мизерия.</w:t>
      </w:r>
    </w:p>
    <w:p w14:paraId="4907435E" w14:textId="77777777" w:rsidR="00605C14" w:rsidRPr="00605C14" w:rsidRDefault="00605C14" w:rsidP="00605C14">
      <w:pPr>
        <w:suppressAutoHyphens w:val="0"/>
        <w:spacing w:after="160" w:line="259" w:lineRule="auto"/>
        <w:ind w:firstLine="709"/>
        <w:jc w:val="both"/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</w:pPr>
      <w:r w:rsidRPr="00605C14"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  <w:t>Предвид, че 2/3 от домакинствата са на жизнен минимум, това ще е пореден удар върху бюджета на домакинствата, отчитайки ръста на цените на хранителните стоки, услугите, горивата и енергийните ресурси, водата, телекомуникационните услуги и т.н. Въпреки, че е налице забавяне на инфлацията, тя продължава да расте, за разлика от доходите, които изостават значително като лишенията ще продължат да нарастват, за сметка на монополните и олигополните цени.</w:t>
      </w:r>
    </w:p>
    <w:p w14:paraId="36B04796" w14:textId="77777777" w:rsidR="00605C14" w:rsidRPr="00605C14" w:rsidRDefault="00605C14" w:rsidP="00605C14">
      <w:pPr>
        <w:suppressAutoHyphens w:val="0"/>
        <w:spacing w:after="160" w:line="259" w:lineRule="auto"/>
        <w:ind w:firstLine="709"/>
        <w:jc w:val="both"/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</w:pPr>
      <w:r w:rsidRPr="00605C14"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  <w:t>Трябва да се разпише ясен механизъм даващ яснота, прозрачност при определяне на фиксираната цена за преходния период и предвидимост за бюджета на домакинствата.</w:t>
      </w:r>
    </w:p>
    <w:p w14:paraId="23B7288D" w14:textId="77777777" w:rsidR="00605C14" w:rsidRPr="00605C14" w:rsidRDefault="00605C14" w:rsidP="00605C14">
      <w:pPr>
        <w:suppressAutoHyphens w:val="0"/>
        <w:spacing w:after="160" w:line="259" w:lineRule="auto"/>
        <w:ind w:firstLine="709"/>
        <w:jc w:val="both"/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</w:pPr>
    </w:p>
    <w:p w14:paraId="449B61A5" w14:textId="77777777" w:rsidR="00605C14" w:rsidRPr="00605C14" w:rsidRDefault="00605C14" w:rsidP="00605C14">
      <w:pPr>
        <w:suppressAutoHyphens w:val="0"/>
        <w:spacing w:after="160" w:line="259" w:lineRule="auto"/>
        <w:ind w:firstLine="709"/>
        <w:jc w:val="both"/>
        <w:rPr>
          <w:rFonts w:eastAsia="Calibri"/>
          <w:b/>
          <w:bCs/>
          <w:kern w:val="2"/>
          <w:sz w:val="28"/>
          <w:szCs w:val="22"/>
          <w:lang w:val="bg-BG" w:eastAsia="en-US"/>
          <w14:ligatures w14:val="standardContextual"/>
        </w:rPr>
      </w:pPr>
      <w:r w:rsidRPr="00605C14">
        <w:rPr>
          <w:rFonts w:eastAsia="Calibri"/>
          <w:b/>
          <w:bCs/>
          <w:kern w:val="2"/>
          <w:sz w:val="28"/>
          <w:szCs w:val="22"/>
          <w:lang w:val="bg-BG" w:eastAsia="en-US"/>
          <w14:ligatures w14:val="standardContextual"/>
        </w:rPr>
        <w:t xml:space="preserve">По т.2 от предложенията - </w:t>
      </w:r>
      <w:bookmarkStart w:id="2" w:name="_Hlk161057319"/>
      <w:r w:rsidRPr="00605C14">
        <w:rPr>
          <w:rFonts w:eastAsia="Calibri"/>
          <w:b/>
          <w:bCs/>
          <w:kern w:val="2"/>
          <w:sz w:val="28"/>
          <w:szCs w:val="22"/>
          <w:lang w:val="bg-BG" w:eastAsia="en-US"/>
          <w14:ligatures w14:val="standardContextual"/>
        </w:rPr>
        <w:t>Ясно разписани и одобрени от социалните партньори планове за бъдещето на българската енергетика, работещите в сектора и цените на електроенергията, на база мощности, потребление, съхранение, внос</w:t>
      </w:r>
      <w:bookmarkEnd w:id="2"/>
      <w:r w:rsidRPr="00605C14">
        <w:rPr>
          <w:rFonts w:eastAsia="Calibri"/>
          <w:b/>
          <w:bCs/>
          <w:kern w:val="2"/>
          <w:sz w:val="28"/>
          <w:szCs w:val="22"/>
          <w:lang w:val="bg-BG" w:eastAsia="en-US"/>
          <w14:ligatures w14:val="standardContextual"/>
        </w:rPr>
        <w:t>:</w:t>
      </w:r>
    </w:p>
    <w:p w14:paraId="17FDC82B" w14:textId="77777777" w:rsidR="00605C14" w:rsidRPr="00605C14" w:rsidRDefault="00605C14" w:rsidP="00605C14">
      <w:pPr>
        <w:suppressAutoHyphens w:val="0"/>
        <w:spacing w:after="160" w:line="259" w:lineRule="auto"/>
        <w:ind w:firstLine="709"/>
        <w:jc w:val="both"/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</w:pPr>
      <w:r w:rsidRPr="00605C14"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  <w:t xml:space="preserve">Във връзка с предложението по т.1 и с цел да се гарантира националната сигурност - производството, разпространението и потреблението на електроенергия и защита на правата на крайните потребители е необходимо да се разпишат и одобрят дългосрочни и </w:t>
      </w:r>
      <w:r w:rsidRPr="00605C14"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  <w:lastRenderedPageBreak/>
        <w:t>краткосрочни планове за бъдещето на българската енергийна система, така че да не се поставя под риск обезпечаването на потреблението за бизнеса и бита, на цени, които няма да водят до резки и непланирани сътресения на пазара, както и да се гарантира обезпечаване на нуждите от електроенергия.</w:t>
      </w:r>
    </w:p>
    <w:p w14:paraId="7DF4C932" w14:textId="77777777" w:rsidR="00605C14" w:rsidRPr="00605C14" w:rsidRDefault="00605C14" w:rsidP="00605C14">
      <w:pPr>
        <w:suppressAutoHyphens w:val="0"/>
        <w:spacing w:after="160" w:line="259" w:lineRule="auto"/>
        <w:ind w:firstLine="709"/>
        <w:jc w:val="both"/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</w:pPr>
      <w:r w:rsidRPr="00605C14"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  <w:t>В свят, в който всяко прекъсване на подаването или недостиг на електроенергията ще носи все по-значителни икономически и социални щети от първостепенна важност е да се планира, управлява, модернизира и разширява производството на електроенергия, за да се гарантира енергийната независимост на страната.</w:t>
      </w:r>
    </w:p>
    <w:p w14:paraId="32D7907B" w14:textId="77777777" w:rsidR="00605C14" w:rsidRPr="00605C14" w:rsidRDefault="00605C14" w:rsidP="00605C14">
      <w:pPr>
        <w:suppressAutoHyphens w:val="0"/>
        <w:spacing w:after="160" w:line="259" w:lineRule="auto"/>
        <w:ind w:firstLine="709"/>
        <w:jc w:val="both"/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</w:pPr>
      <w:r w:rsidRPr="00605C14"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  <w:t>Приемането на стратегически план и гарантирането на политическа устойчивост и приемственост с приоритет националните интереси ще предостави възможност на България да изпълнява целите си, без да изпитва непредвидени сътресения или да се налага да прави необосновани компромиси.</w:t>
      </w:r>
    </w:p>
    <w:p w14:paraId="12CE8857" w14:textId="77777777" w:rsidR="00605C14" w:rsidRPr="00605C14" w:rsidRDefault="00605C14" w:rsidP="00605C14">
      <w:pPr>
        <w:suppressAutoHyphens w:val="0"/>
        <w:spacing w:after="160" w:line="259" w:lineRule="auto"/>
        <w:ind w:firstLine="709"/>
        <w:jc w:val="both"/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</w:pPr>
      <w:r w:rsidRPr="00605C14"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  <w:t>Към днешна дата липсва адекватна готовност за преформатиране на енергийната система, като бъдат изключени части от нея основно, в резултат на наложените квази данъци върху въглеродните емисии. Загубено бе ценно време както по отношение на визията за развитието на енергетиката – нови мощности и модернизиране на съществуващите, в т.ч. какво се случва с хората, които ще бъдат съкратени, така и по отношение на обществената готовност за преминаване към борсови цени.</w:t>
      </w:r>
    </w:p>
    <w:p w14:paraId="18513A4A" w14:textId="77777777" w:rsidR="00605C14" w:rsidRPr="00605C14" w:rsidRDefault="00605C14" w:rsidP="00605C14">
      <w:pPr>
        <w:suppressAutoHyphens w:val="0"/>
        <w:spacing w:after="160" w:line="259" w:lineRule="auto"/>
        <w:ind w:firstLine="709"/>
        <w:jc w:val="both"/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</w:pPr>
      <w:r w:rsidRPr="00605C14"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  <w:t>КТ „Подкрепа“ счита, че днешното бързане може да доведе до значителни сътресения по отношение на работещите и до влошаване на бюджетите на домакинствата.</w:t>
      </w:r>
    </w:p>
    <w:p w14:paraId="7F35E3B3" w14:textId="77777777" w:rsidR="00605C14" w:rsidRPr="00605C14" w:rsidRDefault="00605C14" w:rsidP="00605C14">
      <w:pPr>
        <w:suppressAutoHyphens w:val="0"/>
        <w:spacing w:after="160" w:line="259" w:lineRule="auto"/>
        <w:ind w:firstLine="709"/>
        <w:jc w:val="both"/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</w:pPr>
    </w:p>
    <w:p w14:paraId="516D3A6B" w14:textId="77777777" w:rsidR="00605C14" w:rsidRPr="00605C14" w:rsidRDefault="00605C14" w:rsidP="00605C14">
      <w:pPr>
        <w:suppressAutoHyphens w:val="0"/>
        <w:spacing w:after="160" w:line="259" w:lineRule="auto"/>
        <w:ind w:firstLine="709"/>
        <w:jc w:val="both"/>
        <w:rPr>
          <w:rFonts w:eastAsia="Calibri"/>
          <w:b/>
          <w:bCs/>
          <w:kern w:val="2"/>
          <w:sz w:val="28"/>
          <w:szCs w:val="22"/>
          <w:lang w:val="bg-BG" w:eastAsia="en-US"/>
          <w14:ligatures w14:val="standardContextual"/>
        </w:rPr>
      </w:pPr>
      <w:r w:rsidRPr="00605C14">
        <w:rPr>
          <w:rFonts w:eastAsia="Calibri"/>
          <w:b/>
          <w:bCs/>
          <w:kern w:val="2"/>
          <w:sz w:val="28"/>
          <w:szCs w:val="22"/>
          <w:lang w:val="bg-BG" w:eastAsia="en-US"/>
          <w14:ligatures w14:val="standardContextual"/>
        </w:rPr>
        <w:t>По т.3 от предложенията - ясен механизъм за компенсиране на битовите потребители за преходния период между регулирани цени и борсови цени на електроенергията:</w:t>
      </w:r>
    </w:p>
    <w:p w14:paraId="66670664" w14:textId="77777777" w:rsidR="00605C14" w:rsidRPr="00605C14" w:rsidRDefault="00605C14" w:rsidP="00605C14">
      <w:pPr>
        <w:suppressAutoHyphens w:val="0"/>
        <w:spacing w:after="160" w:line="259" w:lineRule="auto"/>
        <w:ind w:firstLine="709"/>
        <w:jc w:val="both"/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</w:pPr>
      <w:r w:rsidRPr="00605C14"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  <w:t>Действащата нормативна уредба оставя широко отворена врата за движение на „регулираните“ цени на електроенергията за битовите потребители от изпълнителната власт или Народното събрание, както и за частта, която ще бъде компенсирана. Можем да добавим, че липсват легални дефиниции относно жизнен стандарт/издръжка на живот, налице са опити да се създадат различни категории бедност, което ще създава допълнителни трудности пред хората и още – как, например, ще се прилага „може“ по отношение на количеството консумирана енергия или за част от количеството?</w:t>
      </w:r>
    </w:p>
    <w:p w14:paraId="196D1D45" w14:textId="77777777" w:rsidR="00605C14" w:rsidRPr="00605C14" w:rsidRDefault="00605C14" w:rsidP="00605C14">
      <w:pPr>
        <w:suppressAutoHyphens w:val="0"/>
        <w:spacing w:after="160" w:line="259" w:lineRule="auto"/>
        <w:ind w:firstLine="709"/>
        <w:jc w:val="both"/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</w:pPr>
      <w:r w:rsidRPr="00605C14"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  <w:t xml:space="preserve">Липсва предсказуемост и прозрачност в нормативната уредба. Прекалено много „може“ могат да се четат и като „не може“. Дори няма приоритетност на начина на компенсиране. Фактически определянето на цените за битови потребители за преходния период, както и кой, за какво и за колко ще има компенсации са оставени в ръцете на </w:t>
      </w:r>
      <w:r w:rsidRPr="00605C14"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  <w:lastRenderedPageBreak/>
        <w:t>органи, които ще създават рамки според собствените си разбирания, без да има рамка, в която да се вместят.</w:t>
      </w:r>
    </w:p>
    <w:p w14:paraId="0A08ABF9" w14:textId="77777777" w:rsidR="00605C14" w:rsidRPr="00605C14" w:rsidRDefault="00605C14" w:rsidP="00605C14">
      <w:pPr>
        <w:suppressAutoHyphens w:val="0"/>
        <w:spacing w:after="160" w:line="259" w:lineRule="auto"/>
        <w:ind w:firstLine="709"/>
        <w:jc w:val="both"/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</w:pPr>
    </w:p>
    <w:p w14:paraId="09BA2303" w14:textId="77777777" w:rsidR="00605C14" w:rsidRPr="00605C14" w:rsidRDefault="00605C14" w:rsidP="00605C14">
      <w:pPr>
        <w:suppressAutoHyphens w:val="0"/>
        <w:spacing w:after="160" w:line="259" w:lineRule="auto"/>
        <w:ind w:firstLine="709"/>
        <w:jc w:val="both"/>
        <w:rPr>
          <w:rFonts w:eastAsia="Calibri"/>
          <w:b/>
          <w:bCs/>
          <w:kern w:val="2"/>
          <w:sz w:val="28"/>
          <w:szCs w:val="22"/>
          <w:lang w:val="bg-BG" w:eastAsia="en-US"/>
          <w14:ligatures w14:val="standardContextual"/>
        </w:rPr>
      </w:pPr>
      <w:r w:rsidRPr="00605C14">
        <w:rPr>
          <w:rFonts w:eastAsia="Calibri"/>
          <w:b/>
          <w:bCs/>
          <w:kern w:val="2"/>
          <w:sz w:val="28"/>
          <w:szCs w:val="22"/>
          <w:lang w:val="bg-BG" w:eastAsia="en-US"/>
          <w14:ligatures w14:val="standardContextual"/>
        </w:rPr>
        <w:t>По т.4 от предложенията - Да се гарантира, че компенсациите са финансово обезпечени:</w:t>
      </w:r>
    </w:p>
    <w:p w14:paraId="44DDDC5E" w14:textId="77777777" w:rsidR="00605C14" w:rsidRPr="00605C14" w:rsidRDefault="00605C14" w:rsidP="00605C14">
      <w:pPr>
        <w:suppressAutoHyphens w:val="0"/>
        <w:spacing w:after="160" w:line="259" w:lineRule="auto"/>
        <w:ind w:firstLine="709"/>
        <w:jc w:val="both"/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</w:pPr>
      <w:r w:rsidRPr="00605C14"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  <w:t xml:space="preserve">Към днешна дата финансовото състояние на Фонд „Сигурност на електроенергийните системи“ не може да обезпечи предвидените в ЗЕ изменения и допълнения, които влизат в сила от средата на годината. </w:t>
      </w:r>
    </w:p>
    <w:p w14:paraId="0E5BD76C" w14:textId="77777777" w:rsidR="00605C14" w:rsidRPr="00605C14" w:rsidRDefault="00605C14" w:rsidP="00605C14">
      <w:pPr>
        <w:suppressAutoHyphens w:val="0"/>
        <w:spacing w:after="160" w:line="259" w:lineRule="auto"/>
        <w:ind w:firstLine="709"/>
        <w:jc w:val="both"/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</w:pPr>
      <w:r w:rsidRPr="00605C14"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  <w:t>При подобно състояние на Фонда може да се предположи, че отново Държавният бюджет ще трябва да поеме тежестта, което изисква актуализацията му или е предвиден друг механизъм за финансово обезпечаване на изплащането на компенсациите.</w:t>
      </w:r>
    </w:p>
    <w:p w14:paraId="7463F278" w14:textId="77777777" w:rsidR="00605C14" w:rsidRPr="00605C14" w:rsidRDefault="00605C14" w:rsidP="00605C14">
      <w:pPr>
        <w:suppressAutoHyphens w:val="0"/>
        <w:spacing w:after="160" w:line="259" w:lineRule="auto"/>
        <w:ind w:firstLine="709"/>
        <w:jc w:val="both"/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</w:pPr>
    </w:p>
    <w:p w14:paraId="3959D430" w14:textId="77777777" w:rsidR="00605C14" w:rsidRPr="00605C14" w:rsidRDefault="00605C14" w:rsidP="00605C14">
      <w:pPr>
        <w:suppressAutoHyphens w:val="0"/>
        <w:spacing w:after="160" w:line="259" w:lineRule="auto"/>
        <w:ind w:firstLine="709"/>
        <w:jc w:val="both"/>
        <w:rPr>
          <w:rFonts w:eastAsia="Calibri"/>
          <w:b/>
          <w:bCs/>
          <w:kern w:val="2"/>
          <w:sz w:val="28"/>
          <w:szCs w:val="22"/>
          <w:lang w:val="bg-BG" w:eastAsia="en-US"/>
          <w14:ligatures w14:val="standardContextual"/>
        </w:rPr>
      </w:pPr>
      <w:r w:rsidRPr="00605C14">
        <w:rPr>
          <w:rFonts w:eastAsia="Calibri"/>
          <w:b/>
          <w:bCs/>
          <w:kern w:val="2"/>
          <w:sz w:val="28"/>
          <w:szCs w:val="22"/>
          <w:lang w:val="bg-BG" w:eastAsia="en-US"/>
          <w14:ligatures w14:val="standardContextual"/>
        </w:rPr>
        <w:t>По т.5 от предложенията - Премахване на автоматичния механизъм за увеличение на цената на електроенергията на база инфлация, който е в интерес единствено на доставчиците, но не и на потребителите:</w:t>
      </w:r>
    </w:p>
    <w:p w14:paraId="462E132C" w14:textId="77777777" w:rsidR="00605C14" w:rsidRPr="00605C14" w:rsidRDefault="00605C14" w:rsidP="00605C14">
      <w:pPr>
        <w:suppressAutoHyphens w:val="0"/>
        <w:spacing w:after="160" w:line="259" w:lineRule="auto"/>
        <w:ind w:firstLine="709"/>
        <w:jc w:val="both"/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</w:pPr>
    </w:p>
    <w:p w14:paraId="70A261BD" w14:textId="77777777" w:rsidR="00605C14" w:rsidRPr="00605C14" w:rsidRDefault="00605C14" w:rsidP="00605C14">
      <w:pPr>
        <w:suppressAutoHyphens w:val="0"/>
        <w:spacing w:after="160" w:line="259" w:lineRule="auto"/>
        <w:ind w:firstLine="709"/>
        <w:jc w:val="both"/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</w:pPr>
      <w:r w:rsidRPr="00605C14"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  <w:t>КТ „Подкрепа“ е абсолютно против узаконяването на подобен механизъм за повишаване на цените, с който обикновено се злоупотребява в ущърб на потребителите.</w:t>
      </w:r>
    </w:p>
    <w:p w14:paraId="208C78F0" w14:textId="77777777" w:rsidR="00605C14" w:rsidRPr="00605C14" w:rsidRDefault="00605C14" w:rsidP="00605C14">
      <w:pPr>
        <w:suppressAutoHyphens w:val="0"/>
        <w:spacing w:after="160" w:line="259" w:lineRule="auto"/>
        <w:ind w:firstLine="709"/>
        <w:jc w:val="both"/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</w:pPr>
      <w:r w:rsidRPr="00605C14"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  <w:t>Актуализация на цените на електроенергията може да се прави при ясни процедури, методология и методика, които да отчитат единствено производството и разпространението на електроенергия, а не да се търси общата инфлация.</w:t>
      </w:r>
    </w:p>
    <w:p w14:paraId="48084A9B" w14:textId="77777777" w:rsidR="00605C14" w:rsidRPr="00605C14" w:rsidRDefault="00605C14" w:rsidP="00605C14">
      <w:pPr>
        <w:suppressAutoHyphens w:val="0"/>
        <w:spacing w:after="160" w:line="259" w:lineRule="auto"/>
        <w:ind w:firstLine="709"/>
        <w:jc w:val="both"/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</w:pPr>
      <w:r w:rsidRPr="00605C14"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  <w:t>Напомняме, че всяко изменение на цените на енергоносителите с 10% води до пряко увеличение на инфлацията с 1%. Ако приемем, че за предходен период се отчете инфлация от 10% (средногодишна за 2023 г.) и с толкова се увеличи цената на електроенергията за 2024 г., например, то това ще доведе до нов 1% допълнителна инфлация.</w:t>
      </w:r>
    </w:p>
    <w:p w14:paraId="0122F7BA" w14:textId="77777777" w:rsidR="00605C14" w:rsidRPr="00605C14" w:rsidRDefault="00605C14" w:rsidP="00605C14">
      <w:pPr>
        <w:suppressAutoHyphens w:val="0"/>
        <w:spacing w:after="160" w:line="259" w:lineRule="auto"/>
        <w:ind w:firstLine="709"/>
        <w:jc w:val="both"/>
        <w:rPr>
          <w:rFonts w:eastAsia="Calibri"/>
          <w:kern w:val="2"/>
          <w:sz w:val="28"/>
          <w:szCs w:val="22"/>
          <w:lang w:val="bg-BG" w:eastAsia="en-US"/>
          <w14:ligatures w14:val="standardContextual"/>
        </w:rPr>
      </w:pPr>
    </w:p>
    <w:p w14:paraId="580E18F4" w14:textId="73407010" w:rsidR="00EF5947" w:rsidRPr="00136D7D" w:rsidRDefault="00EF5947" w:rsidP="00605C14">
      <w:pPr>
        <w:ind w:right="272"/>
        <w:rPr>
          <w:sz w:val="24"/>
          <w:szCs w:val="24"/>
          <w:lang w:val="bg-BG"/>
        </w:rPr>
      </w:pPr>
    </w:p>
    <w:sectPr w:rsidR="00EF5947" w:rsidRPr="00136D7D" w:rsidSect="00A70493">
      <w:headerReference w:type="default" r:id="rId8"/>
      <w:footerReference w:type="default" r:id="rId9"/>
      <w:pgSz w:w="11906" w:h="16838"/>
      <w:pgMar w:top="2102" w:right="566" w:bottom="764" w:left="720" w:header="568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9A1F0" w14:textId="77777777" w:rsidR="00A70493" w:rsidRDefault="00A70493">
      <w:r>
        <w:separator/>
      </w:r>
    </w:p>
  </w:endnote>
  <w:endnote w:type="continuationSeparator" w:id="0">
    <w:p w14:paraId="558BA65E" w14:textId="77777777" w:rsidR="00A70493" w:rsidRDefault="00A7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4217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ADDA72" w14:textId="77777777" w:rsidR="00A02F81" w:rsidRDefault="00A02F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32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A1F8DE" w14:textId="77777777" w:rsidR="000501D6" w:rsidRDefault="000501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4898D" w14:textId="77777777" w:rsidR="00A70493" w:rsidRDefault="00A70493">
      <w:r>
        <w:separator/>
      </w:r>
    </w:p>
  </w:footnote>
  <w:footnote w:type="continuationSeparator" w:id="0">
    <w:p w14:paraId="00BAF242" w14:textId="77777777" w:rsidR="00A70493" w:rsidRDefault="00A70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57C8E" w14:textId="77777777" w:rsidR="004B06C6" w:rsidRDefault="00D466E7" w:rsidP="00410464">
    <w:pPr>
      <w:pStyle w:val="Heading1"/>
      <w:jc w:val="left"/>
    </w:pPr>
    <w:r>
      <w:rPr>
        <w:noProof/>
        <w:lang w:eastAsia="en-US"/>
      </w:rPr>
      <w:drawing>
        <wp:inline distT="0" distB="0" distL="0" distR="0" wp14:anchorId="7B38CC93" wp14:editId="4D0D27E0">
          <wp:extent cx="6657975" cy="1143000"/>
          <wp:effectExtent l="0" t="0" r="9525" b="0"/>
          <wp:docPr id="3" name="Picture 3" descr="2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B810A8" w14:textId="77777777" w:rsidR="004B06C6" w:rsidRDefault="004B06C6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69D6A89"/>
    <w:multiLevelType w:val="hybridMultilevel"/>
    <w:tmpl w:val="F1280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A63A8"/>
    <w:multiLevelType w:val="hybridMultilevel"/>
    <w:tmpl w:val="C0BECB00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18A0514"/>
    <w:multiLevelType w:val="hybridMultilevel"/>
    <w:tmpl w:val="B346123E"/>
    <w:lvl w:ilvl="0" w:tplc="36CEF2F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94911"/>
    <w:multiLevelType w:val="hybridMultilevel"/>
    <w:tmpl w:val="A0C2B794"/>
    <w:lvl w:ilvl="0" w:tplc="362CAF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2320E"/>
    <w:multiLevelType w:val="hybridMultilevel"/>
    <w:tmpl w:val="E5406BD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F5639D5"/>
    <w:multiLevelType w:val="hybridMultilevel"/>
    <w:tmpl w:val="22D22412"/>
    <w:lvl w:ilvl="0" w:tplc="291EAFEE">
      <w:start w:val="1"/>
      <w:numFmt w:val="decimal"/>
      <w:lvlText w:val="%1)"/>
      <w:lvlJc w:val="left"/>
      <w:pPr>
        <w:ind w:left="14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43E32755"/>
    <w:multiLevelType w:val="hybridMultilevel"/>
    <w:tmpl w:val="86FC1182"/>
    <w:lvl w:ilvl="0" w:tplc="05945A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927F7"/>
    <w:multiLevelType w:val="hybridMultilevel"/>
    <w:tmpl w:val="6F5207F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6A7146"/>
    <w:multiLevelType w:val="hybridMultilevel"/>
    <w:tmpl w:val="075819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207281">
    <w:abstractNumId w:val="0"/>
  </w:num>
  <w:num w:numId="2" w16cid:durableId="921179375">
    <w:abstractNumId w:val="1"/>
  </w:num>
  <w:num w:numId="3" w16cid:durableId="317614617">
    <w:abstractNumId w:val="2"/>
  </w:num>
  <w:num w:numId="4" w16cid:durableId="875846899">
    <w:abstractNumId w:val="3"/>
  </w:num>
  <w:num w:numId="5" w16cid:durableId="375737769">
    <w:abstractNumId w:val="6"/>
  </w:num>
  <w:num w:numId="6" w16cid:durableId="2122600518">
    <w:abstractNumId w:val="11"/>
  </w:num>
  <w:num w:numId="7" w16cid:durableId="1236670952">
    <w:abstractNumId w:val="7"/>
  </w:num>
  <w:num w:numId="8" w16cid:durableId="686516377">
    <w:abstractNumId w:val="8"/>
  </w:num>
  <w:num w:numId="9" w16cid:durableId="2098285325">
    <w:abstractNumId w:val="5"/>
  </w:num>
  <w:num w:numId="10" w16cid:durableId="86586903">
    <w:abstractNumId w:val="9"/>
  </w:num>
  <w:num w:numId="11" w16cid:durableId="457453336">
    <w:abstractNumId w:val="10"/>
  </w:num>
  <w:num w:numId="12" w16cid:durableId="1844204038">
    <w:abstractNumId w:val="4"/>
  </w:num>
  <w:num w:numId="13" w16cid:durableId="16512079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05"/>
    <w:rsid w:val="0001597F"/>
    <w:rsid w:val="000244E7"/>
    <w:rsid w:val="000501D6"/>
    <w:rsid w:val="00063712"/>
    <w:rsid w:val="000A05DF"/>
    <w:rsid w:val="000A1F80"/>
    <w:rsid w:val="000C2F66"/>
    <w:rsid w:val="000E78E1"/>
    <w:rsid w:val="000F0939"/>
    <w:rsid w:val="000F580F"/>
    <w:rsid w:val="00111E05"/>
    <w:rsid w:val="00136D7D"/>
    <w:rsid w:val="00143B21"/>
    <w:rsid w:val="00166E11"/>
    <w:rsid w:val="0017395B"/>
    <w:rsid w:val="0017481E"/>
    <w:rsid w:val="001825E3"/>
    <w:rsid w:val="001845FE"/>
    <w:rsid w:val="001B2BEB"/>
    <w:rsid w:val="001D0AD1"/>
    <w:rsid w:val="001D10E3"/>
    <w:rsid w:val="001E6C22"/>
    <w:rsid w:val="001F7ECB"/>
    <w:rsid w:val="00204080"/>
    <w:rsid w:val="00204C12"/>
    <w:rsid w:val="00206C23"/>
    <w:rsid w:val="00214948"/>
    <w:rsid w:val="00256C62"/>
    <w:rsid w:val="00275CE0"/>
    <w:rsid w:val="00290B64"/>
    <w:rsid w:val="00295126"/>
    <w:rsid w:val="002D7E37"/>
    <w:rsid w:val="002E194E"/>
    <w:rsid w:val="002E2B94"/>
    <w:rsid w:val="002E3DB0"/>
    <w:rsid w:val="00323D79"/>
    <w:rsid w:val="00325061"/>
    <w:rsid w:val="003255F7"/>
    <w:rsid w:val="00360CB9"/>
    <w:rsid w:val="00373A9D"/>
    <w:rsid w:val="0038788B"/>
    <w:rsid w:val="003A679C"/>
    <w:rsid w:val="003D3F84"/>
    <w:rsid w:val="003D5240"/>
    <w:rsid w:val="0040029E"/>
    <w:rsid w:val="00410464"/>
    <w:rsid w:val="00416F09"/>
    <w:rsid w:val="004607F5"/>
    <w:rsid w:val="0046449E"/>
    <w:rsid w:val="00470962"/>
    <w:rsid w:val="004770F6"/>
    <w:rsid w:val="004836E2"/>
    <w:rsid w:val="00486550"/>
    <w:rsid w:val="004A24C9"/>
    <w:rsid w:val="004A303F"/>
    <w:rsid w:val="004A3FEB"/>
    <w:rsid w:val="004A6C2F"/>
    <w:rsid w:val="004B06C6"/>
    <w:rsid w:val="004B0C3E"/>
    <w:rsid w:val="004B4862"/>
    <w:rsid w:val="004C3AD9"/>
    <w:rsid w:val="00506DBD"/>
    <w:rsid w:val="005450D4"/>
    <w:rsid w:val="005477F3"/>
    <w:rsid w:val="00573FDB"/>
    <w:rsid w:val="00576F33"/>
    <w:rsid w:val="00583698"/>
    <w:rsid w:val="005A2628"/>
    <w:rsid w:val="005A2E74"/>
    <w:rsid w:val="005B784B"/>
    <w:rsid w:val="005D5EEC"/>
    <w:rsid w:val="005E4493"/>
    <w:rsid w:val="005E7E8C"/>
    <w:rsid w:val="005F42BD"/>
    <w:rsid w:val="00605C14"/>
    <w:rsid w:val="00611683"/>
    <w:rsid w:val="0061713B"/>
    <w:rsid w:val="00626299"/>
    <w:rsid w:val="00633B7E"/>
    <w:rsid w:val="00651709"/>
    <w:rsid w:val="0066416C"/>
    <w:rsid w:val="00692A79"/>
    <w:rsid w:val="006A74E8"/>
    <w:rsid w:val="006B112F"/>
    <w:rsid w:val="006B53F9"/>
    <w:rsid w:val="006D2D57"/>
    <w:rsid w:val="00755584"/>
    <w:rsid w:val="00763B6D"/>
    <w:rsid w:val="00776F39"/>
    <w:rsid w:val="00781775"/>
    <w:rsid w:val="007A0F71"/>
    <w:rsid w:val="007E7155"/>
    <w:rsid w:val="007F32AE"/>
    <w:rsid w:val="0080176C"/>
    <w:rsid w:val="00807EEA"/>
    <w:rsid w:val="00830299"/>
    <w:rsid w:val="00830817"/>
    <w:rsid w:val="00835069"/>
    <w:rsid w:val="00851DAD"/>
    <w:rsid w:val="0085535E"/>
    <w:rsid w:val="0085537D"/>
    <w:rsid w:val="0087385D"/>
    <w:rsid w:val="008D457C"/>
    <w:rsid w:val="00910066"/>
    <w:rsid w:val="00921B31"/>
    <w:rsid w:val="009675C2"/>
    <w:rsid w:val="00992E30"/>
    <w:rsid w:val="0099320A"/>
    <w:rsid w:val="009A2EFF"/>
    <w:rsid w:val="009A7CAC"/>
    <w:rsid w:val="009B1E87"/>
    <w:rsid w:val="009C2A00"/>
    <w:rsid w:val="009C5D57"/>
    <w:rsid w:val="009D18F5"/>
    <w:rsid w:val="009F6B72"/>
    <w:rsid w:val="00A02B75"/>
    <w:rsid w:val="00A02F81"/>
    <w:rsid w:val="00A56E64"/>
    <w:rsid w:val="00A70493"/>
    <w:rsid w:val="00AA31E6"/>
    <w:rsid w:val="00AB00C5"/>
    <w:rsid w:val="00AE57D4"/>
    <w:rsid w:val="00AE7984"/>
    <w:rsid w:val="00AF06AB"/>
    <w:rsid w:val="00AF5E9E"/>
    <w:rsid w:val="00AF73E1"/>
    <w:rsid w:val="00B0567C"/>
    <w:rsid w:val="00B074A4"/>
    <w:rsid w:val="00B15B96"/>
    <w:rsid w:val="00B35BAC"/>
    <w:rsid w:val="00B37A22"/>
    <w:rsid w:val="00B452BC"/>
    <w:rsid w:val="00B54BC6"/>
    <w:rsid w:val="00B577AE"/>
    <w:rsid w:val="00B75D92"/>
    <w:rsid w:val="00B917C9"/>
    <w:rsid w:val="00B92712"/>
    <w:rsid w:val="00BA2D96"/>
    <w:rsid w:val="00BA532F"/>
    <w:rsid w:val="00BB1240"/>
    <w:rsid w:val="00BB246A"/>
    <w:rsid w:val="00BB53A6"/>
    <w:rsid w:val="00BC4573"/>
    <w:rsid w:val="00C04F4D"/>
    <w:rsid w:val="00C07F31"/>
    <w:rsid w:val="00C10A1F"/>
    <w:rsid w:val="00C5788F"/>
    <w:rsid w:val="00C609B5"/>
    <w:rsid w:val="00CB659C"/>
    <w:rsid w:val="00CC7A37"/>
    <w:rsid w:val="00CF3B89"/>
    <w:rsid w:val="00D069A4"/>
    <w:rsid w:val="00D11CFE"/>
    <w:rsid w:val="00D466E7"/>
    <w:rsid w:val="00D74923"/>
    <w:rsid w:val="00D80BF4"/>
    <w:rsid w:val="00DA07AB"/>
    <w:rsid w:val="00DD13E0"/>
    <w:rsid w:val="00DF18D0"/>
    <w:rsid w:val="00DF6251"/>
    <w:rsid w:val="00E0085B"/>
    <w:rsid w:val="00E009DD"/>
    <w:rsid w:val="00E16824"/>
    <w:rsid w:val="00E253BB"/>
    <w:rsid w:val="00E341BA"/>
    <w:rsid w:val="00E50FA6"/>
    <w:rsid w:val="00E5126D"/>
    <w:rsid w:val="00E6076D"/>
    <w:rsid w:val="00E6799A"/>
    <w:rsid w:val="00E769B7"/>
    <w:rsid w:val="00E80D18"/>
    <w:rsid w:val="00EB2E06"/>
    <w:rsid w:val="00EB3927"/>
    <w:rsid w:val="00EB49F6"/>
    <w:rsid w:val="00EB5953"/>
    <w:rsid w:val="00EE0D08"/>
    <w:rsid w:val="00EE2989"/>
    <w:rsid w:val="00EE3F14"/>
    <w:rsid w:val="00EF1563"/>
    <w:rsid w:val="00EF5947"/>
    <w:rsid w:val="00EF73DC"/>
    <w:rsid w:val="00F04AE5"/>
    <w:rsid w:val="00F22CEB"/>
    <w:rsid w:val="00F3568E"/>
    <w:rsid w:val="00F53B5C"/>
    <w:rsid w:val="00F8323D"/>
    <w:rsid w:val="00FC4B6F"/>
    <w:rsid w:val="00FE135B"/>
    <w:rsid w:val="00FE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5CAA52C"/>
  <w15:docId w15:val="{E727CF5E-E6CA-426F-9DFD-9CEDCBB3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Verdana" w:hAnsi="Verdana"/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Verdana" w:hAnsi="Verdana"/>
      <w:b/>
      <w:lang w:val="bg-BG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  <w:lang w:val="en-AU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100" w:after="100"/>
      <w:jc w:val="center"/>
      <w:outlineLvl w:val="3"/>
    </w:pPr>
    <w:rPr>
      <w:b/>
      <w:i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sz w:val="24"/>
      <w:lang w:val="bg-BG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sz w:val="28"/>
      <w:lang w:val="bg-BG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bCs/>
      <w:color w:val="0000FF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sz w:val="16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5z0">
    <w:name w:val="WW8Num15z0"/>
    <w:rPr>
      <w:sz w:val="24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contenttitle1">
    <w:name w:val="content_title1"/>
    <w:rPr>
      <w:rFonts w:ascii="Arial" w:hAnsi="Arial" w:cs="Arial"/>
      <w:b/>
      <w:bCs/>
      <w:strike w:val="0"/>
      <w:dstrike w:val="0"/>
      <w:color w:val="0B175D"/>
      <w:sz w:val="20"/>
      <w:szCs w:val="20"/>
      <w:u w:val="none"/>
    </w:rPr>
  </w:style>
  <w:style w:type="character" w:styleId="Strong">
    <w:name w:val="Strong"/>
    <w:qFormat/>
    <w:rPr>
      <w:b/>
      <w:bCs/>
    </w:rPr>
  </w:style>
  <w:style w:type="character" w:customStyle="1" w:styleId="a">
    <w:name w:val="Водачи"/>
    <w:rPr>
      <w:rFonts w:ascii="OpenSymbol" w:eastAsia="OpenSymbol" w:hAnsi="OpenSymbol" w:cs="OpenSymbol"/>
    </w:rPr>
  </w:style>
  <w:style w:type="character" w:customStyle="1" w:styleId="a0">
    <w:name w:val="Символи за номериране"/>
  </w:style>
  <w:style w:type="paragraph" w:customStyle="1" w:styleId="1">
    <w:name w:val="Заглавие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216"/>
    </w:pPr>
    <w:rPr>
      <w:rFonts w:ascii="TmsCyr" w:hAnsi="TmsCyr"/>
      <w:color w:val="000000"/>
      <w:lang w:val="en-AU"/>
    </w:rPr>
  </w:style>
  <w:style w:type="paragraph" w:styleId="List">
    <w:name w:val="List"/>
    <w:basedOn w:val="BodyText"/>
    <w:rPr>
      <w:rFonts w:cs="Tahoma"/>
    </w:rPr>
  </w:style>
  <w:style w:type="paragraph" w:customStyle="1" w:styleId="10">
    <w:name w:val="Надпис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1">
    <w:name w:val="Указател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jc w:val="both"/>
    </w:pPr>
    <w:rPr>
      <w:b/>
      <w:lang w:val="bg-BG"/>
    </w:rPr>
  </w:style>
  <w:style w:type="paragraph" w:styleId="BodyText3">
    <w:name w:val="Body Text 3"/>
    <w:basedOn w:val="Normal"/>
    <w:pPr>
      <w:jc w:val="both"/>
    </w:pPr>
    <w:rPr>
      <w:sz w:val="24"/>
      <w:lang w:val="bg-BG"/>
    </w:rPr>
  </w:style>
  <w:style w:type="paragraph" w:styleId="BodyTextIndent">
    <w:name w:val="Body Text Indent"/>
    <w:basedOn w:val="Normal"/>
    <w:pPr>
      <w:ind w:firstLine="720"/>
      <w:jc w:val="both"/>
    </w:pPr>
    <w:rPr>
      <w:b/>
      <w:i/>
      <w:lang w:val="bg-BG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color w:val="CC3300"/>
      <w:spacing w:val="20"/>
      <w:sz w:val="26"/>
      <w:u w:val="single"/>
    </w:rPr>
  </w:style>
  <w:style w:type="paragraph" w:styleId="BodyTextIndent2">
    <w:name w:val="Body Text Indent 2"/>
    <w:basedOn w:val="Normal"/>
    <w:pPr>
      <w:ind w:left="708"/>
    </w:pPr>
    <w:rPr>
      <w:sz w:val="24"/>
      <w:lang w:val="bg-BG"/>
    </w:rPr>
  </w:style>
  <w:style w:type="paragraph" w:styleId="ListParagraph">
    <w:name w:val="List Paragraph"/>
    <w:basedOn w:val="Normal"/>
    <w:uiPriority w:val="34"/>
    <w:qFormat/>
    <w:rsid w:val="00D466E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66E7"/>
    <w:pPr>
      <w:suppressAutoHyphens w:val="0"/>
    </w:pPr>
    <w:rPr>
      <w:rFonts w:ascii="Calibri" w:eastAsia="Calibri" w:hAnsi="Calibr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66E7"/>
    <w:rPr>
      <w:rFonts w:ascii="Calibri" w:eastAsia="Calibri" w:hAnsi="Calibri"/>
    </w:rPr>
  </w:style>
  <w:style w:type="character" w:styleId="FootnoteReference">
    <w:name w:val="footnote reference"/>
    <w:uiPriority w:val="99"/>
    <w:semiHidden/>
    <w:unhideWhenUsed/>
    <w:rsid w:val="00D466E7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692A7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D08BA-7653-42FD-A3DE-8786FD4F5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</vt:lpstr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</dc:title>
  <dc:creator>AQUA TOUR</dc:creator>
  <cp:lastModifiedBy>Az</cp:lastModifiedBy>
  <cp:revision>2</cp:revision>
  <cp:lastPrinted>2010-08-30T06:44:00Z</cp:lastPrinted>
  <dcterms:created xsi:type="dcterms:W3CDTF">2024-03-20T08:07:00Z</dcterms:created>
  <dcterms:modified xsi:type="dcterms:W3CDTF">2024-03-20T08:07:00Z</dcterms:modified>
</cp:coreProperties>
</file>