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EAD0" w14:textId="05BD82EC" w:rsidR="0038023E" w:rsidRDefault="0038023E" w:rsidP="004F4B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3F91E" w14:textId="77777777" w:rsidR="005A2068" w:rsidRDefault="005A2068" w:rsidP="00FE4BF1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545699" w14:textId="6EC75297" w:rsidR="006E0D5E" w:rsidRPr="00FE4BF1" w:rsidRDefault="006E0D5E" w:rsidP="00FE4BF1">
      <w:pPr>
        <w:spacing w:after="0" w:line="288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4BF1">
        <w:rPr>
          <w:rFonts w:ascii="Times New Roman" w:hAnsi="Times New Roman" w:cs="Times New Roman"/>
          <w:b/>
          <w:i/>
          <w:sz w:val="24"/>
          <w:szCs w:val="24"/>
        </w:rPr>
        <w:t>Изх</w:t>
      </w:r>
      <w:r w:rsidR="0025231E" w:rsidRPr="003F602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55E43">
        <w:rPr>
          <w:rFonts w:ascii="Times New Roman" w:hAnsi="Times New Roman" w:cs="Times New Roman"/>
          <w:b/>
          <w:i/>
          <w:sz w:val="24"/>
          <w:szCs w:val="24"/>
        </w:rPr>
        <w:t>078</w:t>
      </w:r>
      <w:bookmarkStart w:id="0" w:name="_GoBack"/>
      <w:bookmarkEnd w:id="0"/>
      <w:r w:rsidRPr="00FE4BF1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16EF5" w:rsidRPr="003F602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255E4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16EF5" w:rsidRPr="003F6021">
        <w:rPr>
          <w:rFonts w:ascii="Times New Roman" w:hAnsi="Times New Roman" w:cs="Times New Roman"/>
          <w:b/>
          <w:i/>
          <w:sz w:val="24"/>
          <w:szCs w:val="24"/>
        </w:rPr>
        <w:t>.02.</w:t>
      </w:r>
      <w:r w:rsidR="0025231E" w:rsidRPr="00FE4BF1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25231E" w:rsidRPr="003F602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E4BF1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14:paraId="19F46460" w14:textId="77777777" w:rsidR="005A2068" w:rsidRDefault="005A2068" w:rsidP="00FE4BF1">
      <w:pPr>
        <w:spacing w:after="0" w:line="288" w:lineRule="auto"/>
        <w:ind w:left="567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4C85791" w14:textId="2708DC33" w:rsidR="00502677" w:rsidRPr="00FE4BF1" w:rsidRDefault="00502677" w:rsidP="00FE4BF1">
      <w:pPr>
        <w:spacing w:after="0" w:line="288" w:lineRule="auto"/>
        <w:ind w:left="567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14:paraId="34D41E6F" w14:textId="24526922" w:rsidR="00502677" w:rsidRPr="00FE4BF1" w:rsidRDefault="00502677" w:rsidP="00FE4BF1">
      <w:pPr>
        <w:spacing w:after="0" w:line="288" w:lineRule="auto"/>
        <w:ind w:left="567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ПРОФ. </w:t>
      </w:r>
      <w:r w:rsidR="00FE4BF1"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ГАЛИН ЦОКОВ</w:t>
      </w:r>
    </w:p>
    <w:p w14:paraId="48A04A1C" w14:textId="77777777" w:rsidR="00502677" w:rsidRPr="00FE4BF1" w:rsidRDefault="00502677" w:rsidP="00FE4BF1">
      <w:pPr>
        <w:spacing w:after="0" w:line="288" w:lineRule="auto"/>
        <w:ind w:left="567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МИНИСТЪР НА ОБРАЗОВАНИЕТО И НАУКАТА </w:t>
      </w:r>
    </w:p>
    <w:p w14:paraId="48480071" w14:textId="3E232519" w:rsidR="00502677" w:rsidRPr="00FE4BF1" w:rsidRDefault="00502677" w:rsidP="00FE4BF1">
      <w:pPr>
        <w:spacing w:after="0" w:line="288" w:lineRule="auto"/>
        <w:ind w:left="5670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На Ваш изх. № 1101-</w:t>
      </w:r>
      <w:r w:rsidR="00FE4BF1" w:rsidRPr="003F6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4</w:t>
      </w:r>
      <w:r w:rsidRPr="00FE4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/0</w:t>
      </w:r>
      <w:r w:rsidR="00FE4BF1" w:rsidRPr="003F6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4</w:t>
      </w:r>
      <w:r w:rsidRPr="00FE4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.01.202</w:t>
      </w:r>
      <w:r w:rsidR="00FE4BF1" w:rsidRPr="003F60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4</w:t>
      </w:r>
      <w:r w:rsidRPr="00FE4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 xml:space="preserve"> г.</w:t>
      </w:r>
    </w:p>
    <w:p w14:paraId="0D45DAF3" w14:textId="77777777" w:rsidR="00502677" w:rsidRPr="00FE4BF1" w:rsidRDefault="00502677" w:rsidP="00FE4BF1">
      <w:pPr>
        <w:spacing w:after="0" w:line="288" w:lineRule="auto"/>
        <w:ind w:left="709" w:hanging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7A56A87" w14:textId="77777777" w:rsidR="00D91EC3" w:rsidRDefault="00D91EC3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BED6555" w14:textId="10E83F6D" w:rsidR="00502677" w:rsidRPr="00FE4BF1" w:rsidRDefault="00502677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ОТНОСНО: </w:t>
      </w:r>
      <w:r w:rsidR="00FE4BF1"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определяне броя </w:t>
      </w:r>
      <w:r w:rsidR="005948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FE4BF1"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приеманите за обучение студенти и докторанти в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E4BF1"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държавните 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висши училища и научните организации на Република България за учебната 202</w:t>
      </w:r>
      <w:r w:rsidR="00FE4BF1"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/202</w:t>
      </w:r>
      <w:r w:rsidR="00FE4BF1"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</w:t>
      </w:r>
      <w:r w:rsidR="00FE4BF1"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одина</w:t>
      </w:r>
    </w:p>
    <w:p w14:paraId="65645F6C" w14:textId="77777777" w:rsidR="005A2068" w:rsidRDefault="005A2068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C3FC8EB" w14:textId="1199B072" w:rsidR="00502677" w:rsidRPr="00FE4BF1" w:rsidRDefault="00502677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УВАЖАЕМИ ГОСПОДИН МИНИСТЪР,</w:t>
      </w:r>
    </w:p>
    <w:p w14:paraId="360BCCD8" w14:textId="77777777" w:rsidR="00502677" w:rsidRPr="00FE4BF1" w:rsidRDefault="00502677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DBE3C7A" w14:textId="40C61575" w:rsidR="00502677" w:rsidRPr="00FE4BF1" w:rsidRDefault="00502677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връзка с отправена от Вас покана към Асоциацията на индустриалния капитал в България</w:t>
      </w:r>
      <w:r w:rsidR="0053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даване на </w:t>
      </w:r>
      <w:r w:rsidR="0053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становище за необходимостта от специалисти с висше образование по професионални направления,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3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бихме искали да Ви информираме, че ние уведомихме всички наши членове и поискахме техните предложения и становища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3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следствие на проведените консултации Ви предоставяме следното становище: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712B14AA" w14:textId="2F6BFC9A" w:rsidR="005A2068" w:rsidRPr="00377801" w:rsidRDefault="00533FDC" w:rsidP="00377801">
      <w:pPr>
        <w:pStyle w:val="ListParagraph"/>
        <w:numPr>
          <w:ilvl w:val="0"/>
          <w:numId w:val="1"/>
        </w:num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България се нуждае от кадри с добро образование, по търсените от работодателите професии. </w:t>
      </w:r>
      <w:r w:rsidR="00FE0543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актуалната секторна и териториална структура на висшето образование в България продължават да съществуват различни по своя характер и дълбочина дисбаланси, включително по отношение на търсенето и предлагането на образователни услуги и реализацията на завършилите на пазара на труда. </w:t>
      </w:r>
      <w:r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момента </w:t>
      </w:r>
      <w:r w:rsidRPr="0037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системата на висшето образование „произвежда“ редица кадри с квалификация, която не е търсена</w:t>
      </w:r>
      <w:r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пазара на труда и “свръх квалифицираните“ кадри с висше образование работят на работни места, които </w:t>
      </w:r>
      <w:r w:rsidR="00341467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изискват</w:t>
      </w:r>
      <w:r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по-ниски образователни и квалификационни изисквания</w:t>
      </w:r>
      <w:r w:rsidR="000D1E01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се вливат в редиците на безработните</w:t>
      </w:r>
      <w:r w:rsidRPr="003778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,</w:t>
      </w:r>
      <w:r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което води до загуба на </w:t>
      </w:r>
      <w:r w:rsidR="00341467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човешки</w:t>
      </w:r>
      <w:r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ресурс</w:t>
      </w:r>
      <w:r w:rsidR="00377801" w:rsidRPr="003F60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A2068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Делът на завършилите, които се реализират на позиция, за която се изисква висше образование, се увеличи от 47% през 2015 г. до 59.4% през 2023 г.</w:t>
      </w:r>
      <w:r w:rsidR="005A2068" w:rsidRPr="00377801">
        <w:rPr>
          <w:rFonts w:ascii="Times New Roman" w:hAnsi="Times New Roman" w:cs="Times New Roman"/>
        </w:rPr>
        <w:t xml:space="preserve"> </w:t>
      </w:r>
      <w:r w:rsidR="00594882" w:rsidRPr="00377801">
        <w:rPr>
          <w:rFonts w:ascii="Times New Roman" w:hAnsi="Times New Roman" w:cs="Times New Roman"/>
        </w:rPr>
        <w:t xml:space="preserve">Тези </w:t>
      </w:r>
      <w:r w:rsidR="00594882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положителни</w:t>
      </w:r>
      <w:r w:rsidR="005A2068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промени се дължат най-вече на увеличение на ДПП за технически специалности</w:t>
      </w:r>
      <w:r w:rsidR="00594882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A2068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благодарение на последователната политика водена от АИКБ в тази насока, както и на промени в подзаконовата уредба, които предоставиха повече средства за издръжка на студентите в това направление, възможности за повече стипендии, включването им в списъка на защитените специалности и др.</w:t>
      </w:r>
      <w:r w:rsid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77801" w:rsidRPr="0037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Въпреки това все още над 40% от завършващите висше образование се реализират на места изискващи средно</w:t>
      </w:r>
      <w:r w:rsidR="00377801" w:rsidRP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по-ниско образование.</w:t>
      </w:r>
      <w:r w:rsid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някои професионални направления на практика реализацията по </w:t>
      </w:r>
      <w:r w:rsid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специалността и на работно място изискващо висше образование е толкова ниска, че не оправдава по никакъв начин завишения план прием (Фиг. 1).</w:t>
      </w:r>
    </w:p>
    <w:p w14:paraId="62C7373B" w14:textId="77777777" w:rsidR="00377801" w:rsidRPr="00377801" w:rsidRDefault="00377801" w:rsidP="00377801">
      <w:pPr>
        <w:pStyle w:val="ListParagraph"/>
        <w:spacing w:after="0" w:line="288" w:lineRule="auto"/>
        <w:ind w:left="0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7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Фиг. 1</w:t>
      </w:r>
    </w:p>
    <w:p w14:paraId="63CF162A" w14:textId="2992174C" w:rsidR="00377801" w:rsidRDefault="005E72B4" w:rsidP="00377801">
      <w:pPr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64948531" wp14:editId="4E59842A">
            <wp:extent cx="5638800" cy="35242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BFE98C" w14:textId="756F85E9" w:rsidR="00377801" w:rsidRDefault="00377801" w:rsidP="00377801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13E3F14" w14:textId="6DF75EDD" w:rsidR="005A2068" w:rsidRDefault="000D1E01" w:rsidP="00377801">
      <w:pPr>
        <w:spacing w:after="0" w:line="288" w:lineRule="auto"/>
        <w:ind w:left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1E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Това положение е логично предвид разпределението на броя студенти </w:t>
      </w:r>
      <w:r w:rsidR="001368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области на висше образование</w:t>
      </w:r>
      <w:r w:rsidR="00923C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Фиг. 2</w:t>
      </w:r>
      <w:r w:rsidR="001368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14:paraId="0CBB1396" w14:textId="4F5285A7" w:rsidR="00923C7C" w:rsidRDefault="00923C7C" w:rsidP="005A2068">
      <w:pPr>
        <w:spacing w:after="0" w:line="288" w:lineRule="auto"/>
        <w:ind w:left="851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23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Фиг. 2</w:t>
      </w:r>
    </w:p>
    <w:p w14:paraId="187A3D65" w14:textId="5B016CDB" w:rsidR="002F40DB" w:rsidRDefault="002F40DB" w:rsidP="00923C7C">
      <w:pPr>
        <w:spacing w:after="0" w:line="288" w:lineRule="auto"/>
        <w:ind w:left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463537B4" wp14:editId="4F8A0296">
            <wp:extent cx="5562600" cy="3333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171ABA" w14:textId="2D8F6473" w:rsidR="00377801" w:rsidRDefault="00377801" w:rsidP="00923C7C">
      <w:pPr>
        <w:spacing w:after="0" w:line="288" w:lineRule="auto"/>
        <w:ind w:left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Видно от двете фигури най-многобройната група студенти, обучаващи се в „Социални, стопански и правни науки“ се реализира на места изискващи средно образование. По същия начин стой въпроса и с нивото на безработица сред същите тези групи (Фиг. 3)</w:t>
      </w:r>
    </w:p>
    <w:p w14:paraId="05B58C41" w14:textId="3E59B961" w:rsidR="00377801" w:rsidRPr="00377801" w:rsidRDefault="00377801" w:rsidP="00377801">
      <w:pPr>
        <w:spacing w:after="0" w:line="288" w:lineRule="auto"/>
        <w:ind w:left="851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7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Фиг.3</w:t>
      </w:r>
    </w:p>
    <w:p w14:paraId="3CBF35BB" w14:textId="6433930C" w:rsidR="00377801" w:rsidRDefault="00377801" w:rsidP="00377801">
      <w:pPr>
        <w:spacing w:after="0" w:line="288" w:lineRule="auto"/>
        <w:ind w:left="851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34E60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299D1046" wp14:editId="3A4E6990">
            <wp:extent cx="4272280" cy="3067050"/>
            <wp:effectExtent l="0" t="0" r="1397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87DE52" w14:textId="77777777" w:rsidR="00377801" w:rsidRDefault="00377801" w:rsidP="00923C7C">
      <w:pPr>
        <w:spacing w:after="0" w:line="288" w:lineRule="auto"/>
        <w:ind w:left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28533CD" w14:textId="3E25E12F" w:rsidR="000D1E01" w:rsidRDefault="00136861" w:rsidP="00923C7C">
      <w:pPr>
        <w:spacing w:after="0" w:line="288" w:lineRule="auto"/>
        <w:ind w:left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Следва да се има предвид, че това са само студентите, които са държавна пор</w:t>
      </w:r>
      <w:r w:rsidR="00732D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ъчка, ако добавим и студентите </w:t>
      </w:r>
      <w:r w:rsidR="005948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частните университети</w:t>
      </w:r>
      <w:r w:rsidR="005948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броят на учащите в областта на „Социални, стопански и правни науки“ ще достигне 70 000 лица. </w:t>
      </w:r>
      <w:r w:rsidR="00923C7C" w:rsidRPr="00923C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Най-голям е утвърденият прием за обучение на студенти в държавните висши училища в професионалните направления от област „Социални, стопански и правни науки”, който заема 34 - 35 на сто о</w:t>
      </w:r>
      <w:r w:rsidR="00377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 утвърдения и 35-36 на сто от </w:t>
      </w:r>
      <w:r w:rsidR="00923C7C" w:rsidRPr="00923C7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реализирания прием по професионални направления от всички области на висшето образование.</w:t>
      </w:r>
      <w:r w:rsidR="00006D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Съответно н</w:t>
      </w:r>
      <w:r w:rsidR="00006DCC" w:rsidRPr="00006D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ай-масовите професионални направления в национален мащаб са „Икономика“, „Педагогика“, „Медицина“, „Администрация и управление“, „Педагогика на обучението по …“, „Комуникационна и компютърна техника“, „Информатика и компютърни науки“ и „Право“. В тези осем направления </w:t>
      </w:r>
      <w:r w:rsidR="00006DCC" w:rsidRPr="00006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се обучават над половината </w:t>
      </w:r>
      <w:r w:rsidR="00006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настоящи</w:t>
      </w:r>
      <w:r w:rsidR="00006DCC" w:rsidRPr="00006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студенти</w:t>
      </w:r>
      <w:r w:rsidR="00006DCC" w:rsidRPr="00006D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732D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4E0901B5" w14:textId="66C1C613" w:rsidR="000D225B" w:rsidRDefault="000D1E01" w:rsidP="00923C7C">
      <w:pPr>
        <w:pStyle w:val="ListParagraph"/>
        <w:spacing w:after="0" w:line="288" w:lineRule="auto"/>
        <w:ind w:left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Затова </w:t>
      </w:r>
      <w:r w:rsidR="00F35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АИКБ счита, </w:t>
      </w:r>
      <w:r w:rsidR="00F3516C" w:rsidRPr="000A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че е необходима </w:t>
      </w:r>
      <w:r w:rsidR="000D225B" w:rsidRPr="000A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единна </w:t>
      </w:r>
      <w:r w:rsidR="00300CB5" w:rsidRPr="000A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държавна</w:t>
      </w:r>
      <w:r w:rsidR="000D225B" w:rsidRPr="000A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политика </w:t>
      </w:r>
      <w:r w:rsidR="003F60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във връзка с приема и </w:t>
      </w:r>
      <w:r w:rsidR="00627B6A" w:rsidRPr="000A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реализацията на завършилите висше образование, за да се постигне реално обвързване на обучението с националните потребности на пазара на труда</w:t>
      </w:r>
      <w:r w:rsidR="00627B6A" w:rsidRPr="00627B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за повишаване на ефекта от инвестициите на публични средства във висшето образование.</w:t>
      </w:r>
      <w:r w:rsidR="00627B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35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Разработената Национална карта на висшето образование за момента остава все още документ с </w:t>
      </w:r>
      <w:proofErr w:type="spellStart"/>
      <w:r w:rsidR="00F35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пожелателен</w:t>
      </w:r>
      <w:proofErr w:type="spellEnd"/>
      <w:r w:rsidR="00F351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характер</w:t>
      </w:r>
      <w:r w:rsidR="00300C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83191A" w:rsidRPr="00831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 са създадени условия</w:t>
      </w:r>
      <w:r w:rsidR="0083191A" w:rsidRPr="008319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3191A" w:rsidRPr="00831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</w:t>
      </w:r>
      <w:r w:rsidR="0083191A" w:rsidRPr="008319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постигане на съответствие между търсенето и предлагането на специалисти с висше образование чрез проучване, и</w:t>
      </w:r>
      <w:r w:rsidR="0083191A" w:rsidRPr="00831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дентифициране и краткосрочно и дългосрочно прогнозиране на потребностите на икономиката.</w:t>
      </w:r>
      <w:r w:rsidR="0083191A" w:rsidRPr="008319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Това създава риск за неадекватни управленски решения при разработване </w:t>
      </w:r>
      <w:r w:rsidR="0083191A" w:rsidRPr="008319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на стратегии и политики в областта на пазара на труда и на висшето образование</w:t>
      </w:r>
      <w:r w:rsidR="008319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респективно подготовката на ДПП</w:t>
      </w:r>
      <w:r w:rsidR="0083191A" w:rsidRPr="008319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FD2E3D1" w14:textId="77777777" w:rsidR="00136861" w:rsidRPr="000D225B" w:rsidRDefault="00136861" w:rsidP="00136861">
      <w:pPr>
        <w:pStyle w:val="ListParagraph"/>
        <w:spacing w:after="0" w:line="288" w:lineRule="auto"/>
        <w:ind w:left="9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D2D615B" w14:textId="4069B358" w:rsidR="0014537D" w:rsidRPr="0014537D" w:rsidRDefault="00136861" w:rsidP="008B339A">
      <w:pPr>
        <w:pStyle w:val="ListParagraph"/>
        <w:numPr>
          <w:ilvl w:val="0"/>
          <w:numId w:val="1"/>
        </w:numPr>
        <w:spacing w:after="0" w:line="288" w:lineRule="auto"/>
        <w:ind w:left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8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Всяка година АИКБ обръща внимание на Министерство на образованието и науката, че е от изключителна важност държавният план –прием </w:t>
      </w:r>
      <w:r w:rsidRPr="00735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да бъде съобразен с броя на завършващите средно образование, като броят на откритите места за студенти да е до не повече от 50 на сто от общия брой завършващи</w:t>
      </w:r>
      <w:r w:rsidRPr="007358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D00813" w:rsidRPr="007358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Това ще даде възможност за по-голяма конкуренция сред кандидат –студентите и подобряване на тяхното качество, а оттам и изграждане на подходящи специалисти, които бързо </w:t>
      </w:r>
      <w:r w:rsidR="003F60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D00813" w:rsidRPr="007358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преминат прехода от образование към заетост. </w:t>
      </w:r>
      <w:r w:rsidR="00594882" w:rsidRPr="007358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Следва да се има предвид, че по данни на НСИ </w:t>
      </w:r>
      <w:r w:rsidR="00D00813" w:rsidRPr="007358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2022 г. завършилите средно образование ученици са намалели с близо 5.5 хиляди в сравнение с предходната година, като това намаление не може да се обясни единствено с демографски процеси. Значително е намалението на завършилите средно образование в професионалните училища; малко от учениците, завършили основно образование, са завършили средно. </w:t>
      </w:r>
      <w:r w:rsidR="00D00813" w:rsidRPr="001453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практика едва 36.4 хиляди получават диплома за завършено средно образование</w:t>
      </w:r>
      <w:r w:rsidR="0014537D" w:rsidRPr="001453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данни на НСИ </w:t>
      </w:r>
      <w:r w:rsidR="0014537D" w:rsidRPr="001453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(Фиг.4)</w:t>
      </w:r>
      <w:r w:rsidR="00D00813" w:rsidRPr="001453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DC3ADAC" w14:textId="2DC5D186" w:rsidR="0014537D" w:rsidRPr="0014537D" w:rsidRDefault="0014537D" w:rsidP="0014537D">
      <w:pPr>
        <w:spacing w:after="0" w:line="288" w:lineRule="auto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45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Фиг. 4</w:t>
      </w:r>
    </w:p>
    <w:p w14:paraId="083D2F3D" w14:textId="64F9981F" w:rsidR="0014537D" w:rsidRPr="0014537D" w:rsidRDefault="002D59F3" w:rsidP="002D59F3">
      <w:pPr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564DCBDB" wp14:editId="4086075F">
            <wp:extent cx="6086475" cy="3933825"/>
            <wp:effectExtent l="0" t="0" r="9525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CD5E8D" w14:textId="47825A5B" w:rsidR="0014537D" w:rsidRPr="0014537D" w:rsidRDefault="008B339A" w:rsidP="0014537D">
      <w:pPr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453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  <w:t xml:space="preserve"> </w:t>
      </w:r>
    </w:p>
    <w:p w14:paraId="5FE7871F" w14:textId="17393D90" w:rsidR="00FE0543" w:rsidRPr="008B339A" w:rsidRDefault="00D00813" w:rsidP="0014537D">
      <w:pPr>
        <w:pStyle w:val="ListParagraph"/>
        <w:spacing w:after="0" w:line="288" w:lineRule="auto"/>
        <w:ind w:left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Същевременно, ако си припомним доклада на министър</w:t>
      </w:r>
      <w:r w:rsidR="00EF2E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 за </w:t>
      </w:r>
      <w:r w:rsidRP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ДПП за учебната 2023/2024 г. ще видим, че „С предложения проект на Решение държавата ще субсидира обучението в 38 държавни висши училища (включително и военните) </w:t>
      </w:r>
      <w:r w:rsidRPr="002D5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 42 </w:t>
      </w:r>
      <w:r w:rsidRPr="002D5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611 студенти</w:t>
      </w:r>
      <w:r w:rsidRP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от които </w:t>
      </w:r>
      <w:r w:rsidRPr="002D5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36 457 след средно образование</w:t>
      </w:r>
      <w:r w:rsidRP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“. Т.е всеки завършил средно образование може да бъде приет за студент.</w:t>
      </w:r>
      <w:r w:rsidR="00ED0484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това са само местата за студентите след средно образование държавна поръчка. Тук следва да добавим </w:t>
      </w:r>
      <w:r w:rsidR="002D59F3" w:rsidRPr="00146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 около 26 000 места, които са обявени в частните университети</w:t>
      </w:r>
      <w:r w:rsid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r w:rsidR="002D59F3" w:rsidRPr="00146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 които над 2/3 се заемат от завършващите средно образование</w:t>
      </w:r>
      <w:r w:rsid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Добавяме още </w:t>
      </w:r>
      <w:r w:rsidR="002D59F3" w:rsidRPr="00146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около 8 000 места за платено обучение в държавните висши училища</w:t>
      </w:r>
      <w:r w:rsid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</w:t>
      </w:r>
      <w:r w:rsidR="001461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завършено средно образование. Това означава, </w:t>
      </w:r>
      <w:r w:rsidR="00146135" w:rsidRPr="00146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че над 50 000 са местата за кандидат студенти годишно завършващи средно образование</w:t>
      </w:r>
      <w:r w:rsidR="001461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А броят на завършващите средно образование намалява с всяка година.</w:t>
      </w:r>
      <w:r w:rsidR="002D59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61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бива да забравяме и това, че по експертни оценки годишно </w:t>
      </w:r>
      <w:r w:rsidR="00146135" w:rsidRPr="00146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около 6 000 </w:t>
      </w:r>
      <w:r w:rsidR="00146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завършващи ср</w:t>
      </w:r>
      <w:r w:rsidR="00146135" w:rsidRPr="001461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едно образование заминават за чужбина или около 16% от завършващите</w:t>
      </w:r>
      <w:r w:rsidR="001461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Същевременно, в</w:t>
      </w:r>
      <w:r w:rsidR="00FE0543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идно от Националната карта на висшето образование броят на местата за обучение на студенти е над два пъти по-голям от броя на действащите студенти през последната учебна година. Общият капацитет за обучение на студенти, определен от НАОА през 2023 година е 419 159 места, което е с над 11 500 повече, отколкото през 2021 година. През пролетта на 2023 година броят на действащите студенти </w:t>
      </w:r>
      <w:r w:rsidR="00FE0543" w:rsidRPr="008B3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представлява едва 42.9% от определения от НАОА</w:t>
      </w:r>
      <w:r w:rsidR="00FE0543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капацитет при 48% през 2022 година и 53% през 2021 година. Затова</w:t>
      </w:r>
      <w:r w:rsidR="00502677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апелираме </w:t>
      </w:r>
      <w:r w:rsidR="00FE0543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за</w:t>
      </w:r>
      <w:r w:rsidR="00502677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представяне на реализирания план-прием за предходната учебна година. Тази информация е важна за правилното планиране на държавния план-прием от наша страна. </w:t>
      </w:r>
      <w:r w:rsidR="00735807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Считам</w:t>
      </w:r>
      <w:r w:rsidR="003F60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735807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че е нужно да се </w:t>
      </w:r>
      <w:r w:rsidR="003F60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анализират</w:t>
      </w:r>
      <w:r w:rsidR="00735807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поставените въпроси и да се разработи смислена и целенасочена политика в областта на висшето образование. Тази необходимост</w:t>
      </w:r>
      <w:r w:rsidR="005460E8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видн</w:t>
      </w:r>
      <w:r w:rsidR="00735807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5460E8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от направения анализ на предложения и реализирания ДПП през годините в последната редакция на Националната карта на висшето образование (Фиг. </w:t>
      </w:r>
      <w:r w:rsidR="001461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5460E8" w:rsidRPr="008B33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), а същевременно е видна и тенденцията да се увеличават местата за студенти, вместо да намаляват. </w:t>
      </w:r>
    </w:p>
    <w:p w14:paraId="1AAAE028" w14:textId="3E0F8487" w:rsidR="005460E8" w:rsidRDefault="005460E8" w:rsidP="005A2068">
      <w:pPr>
        <w:pStyle w:val="NormalWeb"/>
        <w:shd w:val="clear" w:color="auto" w:fill="FFFFFF"/>
        <w:spacing w:before="0" w:beforeAutospacing="0"/>
        <w:jc w:val="center"/>
        <w:rPr>
          <w:rStyle w:val="Emphasis"/>
          <w:b/>
          <w:bCs/>
          <w:i w:val="0"/>
          <w:color w:val="222222"/>
          <w:sz w:val="23"/>
          <w:szCs w:val="23"/>
        </w:rPr>
      </w:pPr>
      <w:r w:rsidRPr="005460E8">
        <w:rPr>
          <w:rStyle w:val="Emphasis"/>
          <w:b/>
          <w:bCs/>
          <w:i w:val="0"/>
          <w:color w:val="222222"/>
          <w:sz w:val="23"/>
          <w:szCs w:val="23"/>
        </w:rPr>
        <w:t>План-прием и реализиран прием по държавна поръчка по години</w:t>
      </w:r>
    </w:p>
    <w:p w14:paraId="745C1491" w14:textId="3A3E1F87" w:rsidR="005460E8" w:rsidRPr="005460E8" w:rsidRDefault="005460E8" w:rsidP="005A2068">
      <w:pPr>
        <w:pStyle w:val="NormalWeb"/>
        <w:shd w:val="clear" w:color="auto" w:fill="FFFFFF"/>
        <w:spacing w:before="0" w:beforeAutospacing="0"/>
        <w:jc w:val="right"/>
        <w:rPr>
          <w:i/>
          <w:color w:val="222222"/>
          <w:sz w:val="23"/>
          <w:szCs w:val="23"/>
        </w:rPr>
      </w:pPr>
      <w:r>
        <w:rPr>
          <w:rStyle w:val="Emphasis"/>
          <w:b/>
          <w:bCs/>
          <w:i w:val="0"/>
          <w:color w:val="222222"/>
          <w:sz w:val="23"/>
          <w:szCs w:val="23"/>
        </w:rPr>
        <w:t xml:space="preserve">Фиг. </w:t>
      </w:r>
      <w:r w:rsidR="00146135">
        <w:rPr>
          <w:rStyle w:val="Emphasis"/>
          <w:b/>
          <w:bCs/>
          <w:i w:val="0"/>
          <w:color w:val="222222"/>
          <w:sz w:val="23"/>
          <w:szCs w:val="23"/>
        </w:rPr>
        <w:t>5</w:t>
      </w:r>
    </w:p>
    <w:p w14:paraId="28661874" w14:textId="77777777" w:rsidR="005460E8" w:rsidRDefault="005460E8" w:rsidP="005A2068">
      <w:pPr>
        <w:pStyle w:val="NormalWeb"/>
        <w:shd w:val="clear" w:color="auto" w:fill="FFFFFF"/>
        <w:spacing w:before="0" w:beforeAutospacing="0"/>
        <w:jc w:val="center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noProof/>
          <w:color w:val="222222"/>
          <w:sz w:val="23"/>
          <w:szCs w:val="23"/>
        </w:rPr>
        <w:drawing>
          <wp:inline distT="0" distB="0" distL="0" distR="0" wp14:anchorId="257395FF" wp14:editId="3A27A87D">
            <wp:extent cx="4516120" cy="2170430"/>
            <wp:effectExtent l="0" t="0" r="0" b="1270"/>
            <wp:docPr id="2" name="Picture 2" descr="https://osis.bg/wp-content/uploads/2024/01/Tab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is.bg/wp-content/uploads/2024/01/Table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66FA" w14:textId="112A2469" w:rsidR="00ED0484" w:rsidRPr="00B74BF5" w:rsidRDefault="0083191A" w:rsidP="00B74BF5">
      <w:pPr>
        <w:pStyle w:val="ListParagraph"/>
        <w:numPr>
          <w:ilvl w:val="0"/>
          <w:numId w:val="1"/>
        </w:numPr>
        <w:spacing w:after="0" w:line="288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АИКБ и нейните членове изразиха и притеснение от факта, </w:t>
      </w:r>
      <w:r w:rsidR="001A426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степента на подготовка на студентите не съответства на потребностите на бизнеса, тъй като е предимно теоретична. </w:t>
      </w:r>
      <w:r w:rsidR="00B85BEC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Извършените още през 2018 г. промени в Закона за висшето образование и п</w:t>
      </w:r>
      <w:r w:rsidR="001A426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редприетите действия от Министерството на образованието</w:t>
      </w:r>
      <w:r w:rsidR="00B85BEC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науката</w:t>
      </w:r>
      <w:r w:rsidR="001A426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за подпомагане на практическите стажове и кариерното ориентиране на студентите </w:t>
      </w:r>
      <w:r w:rsidR="00B74BF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="001A426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са </w:t>
      </w:r>
      <w:r w:rsidR="00B74BF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достатъчно </w:t>
      </w:r>
      <w:r w:rsidR="001A426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ефективни.</w:t>
      </w:r>
      <w:r w:rsidR="00B74BF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Все още липсва широкомащабна кампания </w:t>
      </w:r>
      <w:r w:rsidR="00B74BF5" w:rsidRPr="00B74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популяризиране на възможността студентите да сключват договор с работодателите</w:t>
      </w:r>
      <w:r w:rsidR="00B74BF5" w:rsidRPr="00B74B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срещу поемане на разходите за обучението им изцяло от държавата. </w:t>
      </w:r>
    </w:p>
    <w:p w14:paraId="51257F08" w14:textId="77777777" w:rsidR="00ED0484" w:rsidRDefault="00ED0484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AFC88AD" w14:textId="45C5B1E7" w:rsidR="00502677" w:rsidRPr="00FE4BF1" w:rsidRDefault="00B74BF5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Предвид на изложените съображения, АИКБ изготви предложение и визия на своите членове за броя на необходимите свободни места за студенти държавна поръчка, като предложените бройки по професионални направления </w:t>
      </w:r>
      <w:r w:rsidR="00DD50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представят визията ни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нуждите на цялата икономика, а не само на членовете на АИКБ.</w:t>
      </w:r>
    </w:p>
    <w:p w14:paraId="3211CCB7" w14:textId="77777777" w:rsidR="005A2068" w:rsidRDefault="005A2068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513F8AB" w14:textId="1AD1CE2A" w:rsidR="00502677" w:rsidRDefault="00B74BF5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Във връзка с изпратеното писмо, относно предстояща среща с Вас и Вашия екип</w:t>
      </w:r>
      <w:r w:rsidR="00DD50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обсъждане на Националната карта на висшето образование р</w:t>
      </w:r>
      <w:r w:rsidR="00502677"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азчитам, че в рамките на месец февруари ще имаме такава възможност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обсъдим нейното по ефективно прилагане като инструмент за правилно планиране на ДПП, както и да обсъдим поставените по-горе други въпроси </w:t>
      </w:r>
      <w:r w:rsidR="00DD50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</w:t>
      </w:r>
      <w:r w:rsidR="005A20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="00DD50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A206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последващо</w:t>
      </w:r>
      <w:r w:rsidR="00DD50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реализиране на приема, подготовка на студентите, концепция за въвеждане на дуалното обучение в сферата на висшето образование</w:t>
      </w:r>
      <w:r w:rsidR="003F60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F60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ревизия на </w:t>
      </w:r>
      <w:r w:rsidR="001E4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компрометиралия</w:t>
      </w:r>
      <w:r w:rsidR="003F60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принцип на финансиране „парите следват студента“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др.</w:t>
      </w:r>
    </w:p>
    <w:p w14:paraId="2A9D3B13" w14:textId="6CF01274" w:rsidR="00B74BF5" w:rsidRDefault="00B74BF5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100E214" w14:textId="1B4D6A66" w:rsidR="00B74BF5" w:rsidRDefault="00B74BF5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Екипът на АИКБ остава на разположение за </w:t>
      </w:r>
      <w:r w:rsidR="00D91EC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последващи дискусии и уточнения.</w:t>
      </w:r>
    </w:p>
    <w:p w14:paraId="196A6C5A" w14:textId="77777777" w:rsidR="0083191A" w:rsidRDefault="0083191A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</w:p>
    <w:p w14:paraId="3A3764DB" w14:textId="3FED9B45" w:rsidR="00502677" w:rsidRPr="00FE4BF1" w:rsidRDefault="00502677" w:rsidP="00FE4BF1">
      <w:pPr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Приложение:</w:t>
      </w:r>
      <w:r w:rsidRPr="00FE4B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съгласно текста.</w:t>
      </w:r>
    </w:p>
    <w:p w14:paraId="7A24E9E4" w14:textId="77777777" w:rsidR="00502677" w:rsidRPr="00FE4BF1" w:rsidRDefault="00502677" w:rsidP="00FE4BF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52DC2D7" w14:textId="77777777" w:rsidR="00502677" w:rsidRPr="00FE4BF1" w:rsidRDefault="00502677" w:rsidP="00283A5C">
      <w:pPr>
        <w:spacing w:after="0" w:line="288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 УВАЖЕНИЕ,</w:t>
      </w:r>
    </w:p>
    <w:p w14:paraId="7798AB69" w14:textId="38B633CF" w:rsidR="00502677" w:rsidRPr="00FE4BF1" w:rsidRDefault="00502677" w:rsidP="00283A5C">
      <w:pPr>
        <w:spacing w:after="0" w:line="288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36F4DE58" w14:textId="77777777" w:rsidR="00502677" w:rsidRPr="00FE4BF1" w:rsidRDefault="00502677" w:rsidP="00283A5C">
      <w:pPr>
        <w:spacing w:after="0" w:line="288" w:lineRule="auto"/>
        <w:ind w:left="5529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ВАСИЛ ВЕЛЕВ,</w:t>
      </w:r>
    </w:p>
    <w:p w14:paraId="6B02B1E7" w14:textId="77777777" w:rsidR="00502677" w:rsidRPr="00FE4BF1" w:rsidRDefault="00502677" w:rsidP="00283A5C">
      <w:pPr>
        <w:spacing w:after="0" w:line="288" w:lineRule="auto"/>
        <w:ind w:left="5529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E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ПРЕДСЕДАТЕЛ НА УС НА АСОЦИАЦИЯ НА ИНДУСТРИАЛНИЯ КАПИТАЛ В БЪЛГАРИЯ</w:t>
      </w:r>
    </w:p>
    <w:p w14:paraId="4C5D2906" w14:textId="77777777" w:rsidR="004524A7" w:rsidRPr="00FE4BF1" w:rsidRDefault="004524A7" w:rsidP="00FE4BF1">
      <w:pPr>
        <w:spacing w:after="0" w:line="288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D2FFFE7" w14:textId="77777777" w:rsidR="004524A7" w:rsidRPr="00FE4BF1" w:rsidRDefault="004524A7" w:rsidP="00FE4B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18A0C1" w14:textId="77777777" w:rsidR="004524A7" w:rsidRPr="00FE4BF1" w:rsidRDefault="004524A7" w:rsidP="00FE4B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E6A0C3" w14:textId="77777777" w:rsidR="004524A7" w:rsidRPr="00FE4BF1" w:rsidRDefault="004524A7" w:rsidP="00FE4B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3AC447" w14:textId="77777777" w:rsidR="004524A7" w:rsidRPr="00FE4BF1" w:rsidRDefault="004524A7" w:rsidP="00FE4B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1BD9A0" w14:textId="5667C058" w:rsidR="004524A7" w:rsidRPr="00FE4BF1" w:rsidRDefault="004524A7" w:rsidP="00FE4BF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24A7" w:rsidRPr="00FE4BF1" w:rsidSect="00C2016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55ECB" w14:textId="77777777" w:rsidR="0056263F" w:rsidRDefault="0056263F" w:rsidP="00F23254">
      <w:pPr>
        <w:spacing w:after="0" w:line="240" w:lineRule="auto"/>
      </w:pPr>
      <w:r>
        <w:separator/>
      </w:r>
    </w:p>
  </w:endnote>
  <w:endnote w:type="continuationSeparator" w:id="0">
    <w:p w14:paraId="025E07EF" w14:textId="77777777" w:rsidR="0056263F" w:rsidRDefault="0056263F" w:rsidP="00F2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AF9D" w14:textId="2E6679E2" w:rsidR="0009260D" w:rsidRPr="004524A7" w:rsidRDefault="004524A7" w:rsidP="004524A7">
    <w:pPr>
      <w:pStyle w:val="Footer"/>
    </w:pPr>
    <w:r>
      <w:rPr>
        <w:noProof/>
        <w:lang w:eastAsia="bg-BG"/>
      </w:rPr>
      <w:drawing>
        <wp:inline distT="0" distB="0" distL="0" distR="0" wp14:anchorId="13679FFC" wp14:editId="56EBC80D">
          <wp:extent cx="6477000" cy="400050"/>
          <wp:effectExtent l="0" t="0" r="0" b="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E08E6" w14:textId="77777777" w:rsidR="0056263F" w:rsidRDefault="0056263F" w:rsidP="00F23254">
      <w:pPr>
        <w:spacing w:after="0" w:line="240" w:lineRule="auto"/>
      </w:pPr>
      <w:r>
        <w:separator/>
      </w:r>
    </w:p>
  </w:footnote>
  <w:footnote w:type="continuationSeparator" w:id="0">
    <w:p w14:paraId="58D55335" w14:textId="77777777" w:rsidR="0056263F" w:rsidRDefault="0056263F" w:rsidP="00F2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D577" w14:textId="1E006EBF" w:rsidR="004524A7" w:rsidRDefault="0056263F">
    <w:pPr>
      <w:pStyle w:val="Header"/>
    </w:pPr>
    <w:r>
      <w:rPr>
        <w:noProof/>
      </w:rPr>
      <w:pict w14:anchorId="11A55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7" o:spid="_x0000_s2050" type="#_x0000_t75" style="position:absolute;margin-left:0;margin-top:0;width:94.1pt;height:97pt;z-index:-251657216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ED04" w14:textId="70E13DEB" w:rsidR="004524A7" w:rsidRPr="004524A7" w:rsidRDefault="0056263F" w:rsidP="004524A7">
    <w:pPr>
      <w:pStyle w:val="Header"/>
    </w:pPr>
    <w:r>
      <w:rPr>
        <w:noProof/>
      </w:rPr>
      <w:pict w14:anchorId="0471D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8" o:spid="_x0000_s2051" type="#_x0000_t75" style="position:absolute;margin-left:0;margin-top:0;width:94.1pt;height:97pt;z-index:-251656192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  <w:r w:rsidR="004524A7">
      <w:rPr>
        <w:noProof/>
        <w:lang w:eastAsia="bg-BG"/>
      </w:rPr>
      <w:drawing>
        <wp:inline distT="0" distB="0" distL="0" distR="0" wp14:anchorId="2DF4270D" wp14:editId="296A5257">
          <wp:extent cx="4107796" cy="819150"/>
          <wp:effectExtent l="0" t="0" r="7620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340" cy="81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7DE1" w14:textId="101DD86D" w:rsidR="004524A7" w:rsidRDefault="0056263F">
    <w:pPr>
      <w:pStyle w:val="Header"/>
    </w:pPr>
    <w:r>
      <w:rPr>
        <w:noProof/>
      </w:rPr>
      <w:pict w14:anchorId="64048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6" o:spid="_x0000_s2049" type="#_x0000_t75" style="position:absolute;margin-left:0;margin-top:0;width:94.1pt;height:97pt;z-index:-251658240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7D6E"/>
    <w:multiLevelType w:val="hybridMultilevel"/>
    <w:tmpl w:val="B5CE3FE6"/>
    <w:lvl w:ilvl="0" w:tplc="FE7A2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54"/>
    <w:rsid w:val="00006DCC"/>
    <w:rsid w:val="00051EEB"/>
    <w:rsid w:val="0009260D"/>
    <w:rsid w:val="000A1A51"/>
    <w:rsid w:val="000A3195"/>
    <w:rsid w:val="000A77F2"/>
    <w:rsid w:val="000D1E01"/>
    <w:rsid w:val="000D225B"/>
    <w:rsid w:val="00136861"/>
    <w:rsid w:val="0014537D"/>
    <w:rsid w:val="00146135"/>
    <w:rsid w:val="00150E44"/>
    <w:rsid w:val="0015530C"/>
    <w:rsid w:val="0017796F"/>
    <w:rsid w:val="001A4265"/>
    <w:rsid w:val="001C217D"/>
    <w:rsid w:val="001C6079"/>
    <w:rsid w:val="001E46AE"/>
    <w:rsid w:val="001F0374"/>
    <w:rsid w:val="001F3D2A"/>
    <w:rsid w:val="00244246"/>
    <w:rsid w:val="0025231E"/>
    <w:rsid w:val="002542DE"/>
    <w:rsid w:val="00255E43"/>
    <w:rsid w:val="002825E4"/>
    <w:rsid w:val="00283A5C"/>
    <w:rsid w:val="00292EB0"/>
    <w:rsid w:val="002D59F3"/>
    <w:rsid w:val="002E3817"/>
    <w:rsid w:val="002F40DB"/>
    <w:rsid w:val="00300CB5"/>
    <w:rsid w:val="00341467"/>
    <w:rsid w:val="00377801"/>
    <w:rsid w:val="0038023E"/>
    <w:rsid w:val="00387C84"/>
    <w:rsid w:val="003A117F"/>
    <w:rsid w:val="003F36BD"/>
    <w:rsid w:val="003F6021"/>
    <w:rsid w:val="00434E60"/>
    <w:rsid w:val="00446836"/>
    <w:rsid w:val="004524A7"/>
    <w:rsid w:val="00493339"/>
    <w:rsid w:val="004A4C9F"/>
    <w:rsid w:val="004F4B77"/>
    <w:rsid w:val="00502677"/>
    <w:rsid w:val="00533FDC"/>
    <w:rsid w:val="00542D30"/>
    <w:rsid w:val="005460E8"/>
    <w:rsid w:val="0056263F"/>
    <w:rsid w:val="00594882"/>
    <w:rsid w:val="005A2068"/>
    <w:rsid w:val="005E72B4"/>
    <w:rsid w:val="00616EF5"/>
    <w:rsid w:val="00627B6A"/>
    <w:rsid w:val="006564AA"/>
    <w:rsid w:val="00674BCA"/>
    <w:rsid w:val="00682BFD"/>
    <w:rsid w:val="00687C52"/>
    <w:rsid w:val="006E021F"/>
    <w:rsid w:val="006E0D5E"/>
    <w:rsid w:val="006E43A7"/>
    <w:rsid w:val="006E7BED"/>
    <w:rsid w:val="00732D7D"/>
    <w:rsid w:val="00735807"/>
    <w:rsid w:val="0082027F"/>
    <w:rsid w:val="0083191A"/>
    <w:rsid w:val="00844C32"/>
    <w:rsid w:val="00873508"/>
    <w:rsid w:val="008B339A"/>
    <w:rsid w:val="008D1572"/>
    <w:rsid w:val="00923C7C"/>
    <w:rsid w:val="0098265C"/>
    <w:rsid w:val="009B0C1D"/>
    <w:rsid w:val="009C3424"/>
    <w:rsid w:val="009C4CC2"/>
    <w:rsid w:val="009E79FB"/>
    <w:rsid w:val="00A566FE"/>
    <w:rsid w:val="00B07263"/>
    <w:rsid w:val="00B10F85"/>
    <w:rsid w:val="00B1630E"/>
    <w:rsid w:val="00B74BF5"/>
    <w:rsid w:val="00B85BEC"/>
    <w:rsid w:val="00BF09C0"/>
    <w:rsid w:val="00C2016D"/>
    <w:rsid w:val="00CE2A67"/>
    <w:rsid w:val="00D00813"/>
    <w:rsid w:val="00D16A05"/>
    <w:rsid w:val="00D7657E"/>
    <w:rsid w:val="00D91EC3"/>
    <w:rsid w:val="00DD5042"/>
    <w:rsid w:val="00DE6DD4"/>
    <w:rsid w:val="00DF24E7"/>
    <w:rsid w:val="00ED0484"/>
    <w:rsid w:val="00EF2E2A"/>
    <w:rsid w:val="00F23254"/>
    <w:rsid w:val="00F3516C"/>
    <w:rsid w:val="00FC26E0"/>
    <w:rsid w:val="00FE0543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0675FE"/>
  <w15:docId w15:val="{EECB02A4-51D9-4C20-9B52-08661EF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54"/>
  </w:style>
  <w:style w:type="paragraph" w:styleId="Footer">
    <w:name w:val="footer"/>
    <w:basedOn w:val="Normal"/>
    <w:link w:val="Foot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54"/>
  </w:style>
  <w:style w:type="paragraph" w:styleId="BalloonText">
    <w:name w:val="Balloon Text"/>
    <w:basedOn w:val="Normal"/>
    <w:link w:val="BalloonTextChar"/>
    <w:uiPriority w:val="99"/>
    <w:semiHidden/>
    <w:unhideWhenUsed/>
    <w:rsid w:val="0015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E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3F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546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/>
              <a:t>Реализация в % на завършилите висше образование на места изискващи висше образование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Sheet1!$D$2</c:f>
              <c:strCache>
                <c:ptCount val="1"/>
                <c:pt idx="0">
                  <c:v>Реализация в 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BE45-4375-A3F9-9EA3C1D69521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BE45-4375-A3F9-9EA3C1D69521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BE45-4375-A3F9-9EA3C1D69521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BE45-4375-A3F9-9EA3C1D69521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BE45-4375-A3F9-9EA3C1D69521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BE45-4375-A3F9-9EA3C1D69521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D-BE45-4375-A3F9-9EA3C1D69521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F-BE45-4375-A3F9-9EA3C1D695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Sheet1!$C$3:$C$10</c:f>
              <c:strCache>
                <c:ptCount val="8"/>
                <c:pt idx="0">
                  <c:v>Военно дело</c:v>
                </c:pt>
                <c:pt idx="1">
                  <c:v>Медицина</c:v>
                </c:pt>
                <c:pt idx="2">
                  <c:v>Математика</c:v>
                </c:pt>
                <c:pt idx="3">
                  <c:v>ИКТ</c:v>
                </c:pt>
                <c:pt idx="4">
                  <c:v>Администрация и управление</c:v>
                </c:pt>
                <c:pt idx="5">
                  <c:v>Социология, атропология, науки за културата</c:v>
                </c:pt>
                <c:pt idx="6">
                  <c:v>Икономика</c:v>
                </c:pt>
                <c:pt idx="7">
                  <c:v>Туризъм</c:v>
                </c:pt>
              </c:strCache>
            </c:strRef>
          </c:cat>
          <c:val>
            <c:numRef>
              <c:f>Sheet1!$D$3:$D$10</c:f>
              <c:numCache>
                <c:formatCode>General</c:formatCode>
                <c:ptCount val="8"/>
                <c:pt idx="0">
                  <c:v>98.97</c:v>
                </c:pt>
                <c:pt idx="1">
                  <c:v>94.94</c:v>
                </c:pt>
                <c:pt idx="2">
                  <c:v>76.180000000000007</c:v>
                </c:pt>
                <c:pt idx="3">
                  <c:v>73.7</c:v>
                </c:pt>
                <c:pt idx="4">
                  <c:v>46.39</c:v>
                </c:pt>
                <c:pt idx="5">
                  <c:v>45.86</c:v>
                </c:pt>
                <c:pt idx="6">
                  <c:v>44.92</c:v>
                </c:pt>
                <c:pt idx="7">
                  <c:v>25.87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E45-4375-A3F9-9EA3C1D695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37902152"/>
        <c:axId val="437901168"/>
      </c:barChart>
      <c:catAx>
        <c:axId val="437902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437901168"/>
        <c:crosses val="autoZero"/>
        <c:auto val="1"/>
        <c:lblAlgn val="ctr"/>
        <c:lblOffset val="100"/>
        <c:noMultiLvlLbl val="0"/>
      </c:catAx>
      <c:valAx>
        <c:axId val="43790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437902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/>
              <a:t>Брой студенти по области на образование</a:t>
            </a:r>
            <a:endParaRPr lang="en-US"/>
          </a:p>
        </c:rich>
      </c:tx>
      <c:layout>
        <c:manualLayout>
          <c:xMode val="edge"/>
          <c:yMode val="edge"/>
          <c:x val="0.32087050199382866"/>
          <c:y val="3.053287803020291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>
                <a:contourClr>
                  <a:srgbClr val="FF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50-4628-A296-B43DFF11CBEC}"/>
              </c:ext>
            </c:extLst>
          </c:dPt>
          <c:cat>
            <c:strRef>
              <c:f>[profesional_field_comparison_2023.xls]Sheet1!$B$3:$B$11</c:f>
              <c:strCache>
                <c:ptCount val="9"/>
                <c:pt idx="0">
                  <c:v>Социални, стопански и правни</c:v>
                </c:pt>
                <c:pt idx="1">
                  <c:v>Технически науки</c:v>
                </c:pt>
                <c:pt idx="2">
                  <c:v>Здравеопазване и спорт</c:v>
                </c:pt>
                <c:pt idx="3">
                  <c:v>Педагогически науки</c:v>
                </c:pt>
                <c:pt idx="4">
                  <c:v>Природни науки, математика и итформатика</c:v>
                </c:pt>
                <c:pt idx="5">
                  <c:v>Хуманитарни науки</c:v>
                </c:pt>
                <c:pt idx="6">
                  <c:v>Сигурност и отбрана</c:v>
                </c:pt>
                <c:pt idx="7">
                  <c:v>Изкуства</c:v>
                </c:pt>
                <c:pt idx="8">
                  <c:v>Аграрни науки и ветеринарна медицина</c:v>
                </c:pt>
              </c:strCache>
            </c:strRef>
          </c:cat>
          <c:val>
            <c:numRef>
              <c:f>[profesional_field_comparison_2023.xls]Sheet1!$C$3:$C$11</c:f>
              <c:numCache>
                <c:formatCode>General</c:formatCode>
                <c:ptCount val="9"/>
                <c:pt idx="0">
                  <c:v>55570</c:v>
                </c:pt>
                <c:pt idx="1">
                  <c:v>32643</c:v>
                </c:pt>
                <c:pt idx="2">
                  <c:v>29139</c:v>
                </c:pt>
                <c:pt idx="3">
                  <c:v>25789</c:v>
                </c:pt>
                <c:pt idx="4">
                  <c:v>11710</c:v>
                </c:pt>
                <c:pt idx="5">
                  <c:v>8124</c:v>
                </c:pt>
                <c:pt idx="6">
                  <c:v>6606</c:v>
                </c:pt>
                <c:pt idx="7">
                  <c:v>5470</c:v>
                </c:pt>
                <c:pt idx="8">
                  <c:v>4197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50-4628-A296-B43DFF11CB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362560"/>
        <c:axId val="41364096"/>
        <c:axId val="0"/>
      </c:bar3DChart>
      <c:catAx>
        <c:axId val="4136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41364096"/>
        <c:crosses val="autoZero"/>
        <c:auto val="1"/>
        <c:lblAlgn val="ctr"/>
        <c:lblOffset val="100"/>
        <c:noMultiLvlLbl val="0"/>
      </c:catAx>
      <c:valAx>
        <c:axId val="4136409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41362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>
                <a:latin typeface="Times New Roman" panose="02020603050405020304" pitchFamily="18" charset="0"/>
                <a:cs typeface="Times New Roman" panose="02020603050405020304" pitchFamily="18" charset="0"/>
              </a:rPr>
              <a:t>% безработица сред завършилите по професионални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10A-45DF-80A6-4D74A732478B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10A-45DF-80A6-4D74A732478B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10A-45DF-80A6-4D74A732478B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10A-45DF-80A6-4D74A732478B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10A-45DF-80A6-4D74A732478B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E10A-45DF-80A6-4D74A732478B}"/>
              </c:ext>
            </c:extLst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E10A-45DF-80A6-4D74A732478B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E10A-45DF-80A6-4D74A732478B}"/>
              </c:ext>
            </c:extLst>
          </c:dPt>
          <c:dPt>
            <c:idx val="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E10A-45DF-80A6-4D74A73247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[fffe.xls]Sheet1!$B$3:$B$12</c:f>
              <c:strCache>
                <c:ptCount val="10"/>
                <c:pt idx="1">
                  <c:v>Педагогически науки</c:v>
                </c:pt>
                <c:pt idx="2">
                  <c:v>Хуманитарни науки</c:v>
                </c:pt>
                <c:pt idx="3">
                  <c:v>Социални, стопански и правни</c:v>
                </c:pt>
                <c:pt idx="4">
                  <c:v>Изкуства</c:v>
                </c:pt>
                <c:pt idx="5">
                  <c:v>Природни науки, математика и итформатика</c:v>
                </c:pt>
                <c:pt idx="6">
                  <c:v>Аграрни науки и ветеринарна медицина</c:v>
                </c:pt>
                <c:pt idx="7">
                  <c:v>Технически науки</c:v>
                </c:pt>
                <c:pt idx="8">
                  <c:v>Здравеопазване и спорт</c:v>
                </c:pt>
                <c:pt idx="9">
                  <c:v>Сигурност и отбрана</c:v>
                </c:pt>
              </c:strCache>
            </c:strRef>
          </c:cat>
          <c:val>
            <c:numRef>
              <c:f>[fffe.xls]Sheet1!$C$3:$C$12</c:f>
              <c:numCache>
                <c:formatCode>0.00</c:formatCode>
                <c:ptCount val="10"/>
                <c:pt idx="1">
                  <c:v>2.5866666666666664</c:v>
                </c:pt>
                <c:pt idx="2">
                  <c:v>2.5499999999999998</c:v>
                </c:pt>
                <c:pt idx="3">
                  <c:v>2.4677777777777781</c:v>
                </c:pt>
                <c:pt idx="4">
                  <c:v>2.0750000000000002</c:v>
                </c:pt>
                <c:pt idx="5">
                  <c:v>1.9016666666666671</c:v>
                </c:pt>
                <c:pt idx="6">
                  <c:v>1.8739999999999999</c:v>
                </c:pt>
                <c:pt idx="7">
                  <c:v>1.6146153846153848</c:v>
                </c:pt>
                <c:pt idx="8">
                  <c:v>0.94499999999999995</c:v>
                </c:pt>
                <c:pt idx="9">
                  <c:v>0.94000000000000006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10A-45DF-80A6-4D74A73247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932864"/>
        <c:axId val="41353216"/>
        <c:axId val="0"/>
      </c:bar3DChart>
      <c:catAx>
        <c:axId val="4093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41353216"/>
        <c:crosses val="autoZero"/>
        <c:auto val="1"/>
        <c:lblAlgn val="ctr"/>
        <c:lblOffset val="100"/>
        <c:noMultiLvlLbl val="0"/>
      </c:catAx>
      <c:valAx>
        <c:axId val="4135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4093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bg-BG"/>
              <a:t>Завършващи по степени на образование и утвърден ДПП за висше образование за съответата учебна година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'2022'!$B$3</c:f>
              <c:strCache>
                <c:ptCount val="1"/>
                <c:pt idx="0">
                  <c:v>Основно образование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'2022'!$A$4:$A$8</c:f>
              <c:strCach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strCache>
            </c:strRef>
          </c:cat>
          <c:val>
            <c:numRef>
              <c:f>'2022'!$B$4:$B$8</c:f>
              <c:numCache>
                <c:formatCode>#,##0</c:formatCode>
                <c:ptCount val="5"/>
                <c:pt idx="0" formatCode="General">
                  <c:v>61364</c:v>
                </c:pt>
                <c:pt idx="1">
                  <c:v>59697</c:v>
                </c:pt>
                <c:pt idx="2">
                  <c:v>59914</c:v>
                </c:pt>
                <c:pt idx="3">
                  <c:v>58864</c:v>
                </c:pt>
                <c:pt idx="4">
                  <c:v>71880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2-4910-91C3-D8A4163A713B}"/>
            </c:ext>
          </c:extLst>
        </c:ser>
        <c:ser>
          <c:idx val="1"/>
          <c:order val="1"/>
          <c:tx>
            <c:strRef>
              <c:f>'2022'!$C$3</c:f>
              <c:strCache>
                <c:ptCount val="1"/>
                <c:pt idx="0">
                  <c:v>Средно образование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'2022'!$A$4:$A$8</c:f>
              <c:strCach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strCache>
            </c:strRef>
          </c:cat>
          <c:val>
            <c:numRef>
              <c:f>'2022'!$C$4:$C$8</c:f>
              <c:numCache>
                <c:formatCode>#,##0</c:formatCode>
                <c:ptCount val="5"/>
                <c:pt idx="0">
                  <c:v>36450</c:v>
                </c:pt>
                <c:pt idx="1">
                  <c:v>43034</c:v>
                </c:pt>
                <c:pt idx="2">
                  <c:v>45133</c:v>
                </c:pt>
                <c:pt idx="3">
                  <c:v>47411</c:v>
                </c:pt>
                <c:pt idx="4">
                  <c:v>49504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C2-4910-91C3-D8A4163A713B}"/>
            </c:ext>
          </c:extLst>
        </c:ser>
        <c:ser>
          <c:idx val="2"/>
          <c:order val="2"/>
          <c:tx>
            <c:strRef>
              <c:f>'2022'!$D$3</c:f>
              <c:strCache>
                <c:ptCount val="1"/>
                <c:pt idx="0">
                  <c:v>ДПП за висше след средно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'2022'!$A$4:$A$8</c:f>
              <c:strCach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strCache>
            </c:strRef>
          </c:cat>
          <c:val>
            <c:numRef>
              <c:f>'2022'!$D$4:$D$8</c:f>
              <c:numCache>
                <c:formatCode>#,##0</c:formatCode>
                <c:ptCount val="5"/>
                <c:pt idx="0">
                  <c:v>36457</c:v>
                </c:pt>
                <c:pt idx="1">
                  <c:v>35281</c:v>
                </c:pt>
                <c:pt idx="2">
                  <c:v>34600</c:v>
                </c:pt>
                <c:pt idx="3">
                  <c:v>36984</c:v>
                </c:pt>
                <c:pt idx="4">
                  <c:v>38704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C2-4910-91C3-D8A4163A7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0938624"/>
        <c:axId val="440940920"/>
      </c:barChart>
      <c:catAx>
        <c:axId val="44093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440940920"/>
        <c:crosses val="autoZero"/>
        <c:auto val="1"/>
        <c:lblAlgn val="ctr"/>
        <c:lblOffset val="100"/>
        <c:noMultiLvlLbl val="0"/>
      </c:catAx>
      <c:valAx>
        <c:axId val="440940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440938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Rossi Steliyanova</cp:lastModifiedBy>
  <cp:revision>8</cp:revision>
  <cp:lastPrinted>2024-02-06T08:28:00Z</cp:lastPrinted>
  <dcterms:created xsi:type="dcterms:W3CDTF">2024-02-05T14:43:00Z</dcterms:created>
  <dcterms:modified xsi:type="dcterms:W3CDTF">2024-02-06T08:49:00Z</dcterms:modified>
</cp:coreProperties>
</file>