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5386" w14:textId="2478DFAD" w:rsidR="002209F7" w:rsidRDefault="002209F7" w:rsidP="00A72386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bg-BG"/>
        </w:rPr>
        <w:drawing>
          <wp:inline distT="0" distB="0" distL="0" distR="0" wp14:anchorId="63E1BC11" wp14:editId="78B074AC">
            <wp:extent cx="5761355" cy="1000125"/>
            <wp:effectExtent l="0" t="0" r="0" b="9525"/>
            <wp:docPr id="846124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0AE40" w14:textId="77777777" w:rsidR="00E03BD3" w:rsidRDefault="00E03BD3" w:rsidP="00A72386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FA80D3" w14:textId="6CCF7435" w:rsidR="007141BC" w:rsidRPr="004F0022" w:rsidRDefault="007141BC" w:rsidP="00A72386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Изх. №</w:t>
      </w:r>
      <w:r w:rsidR="008F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256</w:t>
      </w:r>
      <w:r w:rsidR="00A73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/</w:t>
      </w:r>
      <w:r w:rsidR="008F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20.11</w:t>
      </w:r>
      <w:r w:rsidR="00737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A73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202</w:t>
      </w:r>
      <w:r w:rsidR="002209F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</w:t>
      </w:r>
      <w:r w:rsidR="00A732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г.</w:t>
      </w:r>
    </w:p>
    <w:p w14:paraId="602D1064" w14:textId="77777777" w:rsidR="00996AEA" w:rsidRPr="00341F87" w:rsidRDefault="00996AEA" w:rsidP="00A72386">
      <w:pPr>
        <w:spacing w:after="0" w:line="288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1F8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14:paraId="3BDAC257" w14:textId="47425320" w:rsidR="00A732D2" w:rsidRPr="00341F87" w:rsidRDefault="00996AEA" w:rsidP="00A72386">
      <w:pPr>
        <w:spacing w:after="0" w:line="288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96A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</w:t>
      </w:r>
      <w:r w:rsidR="00F856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ЖА</w:t>
      </w:r>
      <w:r w:rsidRPr="00996A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856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МАРИЯ ГАБРИЕЛ</w:t>
      </w:r>
      <w:r w:rsidR="00A732D2" w:rsidRPr="00341F8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14:paraId="525E60AA" w14:textId="6A2952D6" w:rsidR="00996AEA" w:rsidRPr="00A732D2" w:rsidRDefault="00996AEA" w:rsidP="00A72386">
      <w:pPr>
        <w:spacing w:after="0" w:line="288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996A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ЗАМЕСТНИК МИНИСТЪР-ПРЕДСЕДАТЕЛ И МИНИСТЪР НА </w:t>
      </w:r>
      <w:r w:rsidR="00F856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ВЪНШНИТЕ РАБОТИ</w:t>
      </w:r>
      <w:r w:rsidR="00A732D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,</w:t>
      </w:r>
    </w:p>
    <w:p w14:paraId="09AF4A87" w14:textId="77777777" w:rsidR="00996AEA" w:rsidRPr="00996AEA" w:rsidRDefault="00996AEA" w:rsidP="00A72386">
      <w:pPr>
        <w:spacing w:after="0" w:line="288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НСТС</w:t>
      </w:r>
    </w:p>
    <w:p w14:paraId="24CADEAF" w14:textId="77777777" w:rsidR="00341F87" w:rsidRDefault="00341F87" w:rsidP="00A7238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15CD978C" w14:textId="49A903F8" w:rsidR="00996AEA" w:rsidRPr="00996AEA" w:rsidRDefault="00996AEA" w:rsidP="00A7238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6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</w:t>
      </w:r>
      <w:r w:rsidR="004E09F1" w:rsidRPr="004E0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тносно</w:t>
      </w:r>
      <w:r w:rsidRPr="00996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  <w:r w:rsidRPr="00996A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732D2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П</w:t>
      </w:r>
      <w:proofErr w:type="spellStart"/>
      <w:r w:rsidRPr="004E09F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роект</w:t>
      </w:r>
      <w:proofErr w:type="spellEnd"/>
      <w:r w:rsidRPr="004E09F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96AE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996A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държавния бюджет на Република България за 202</w:t>
      </w:r>
      <w:r w:rsidR="00B55AB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996A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бюджета на държа</w:t>
      </w:r>
      <w:r w:rsidR="00557347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ното обществено осигуряване </w:t>
      </w:r>
      <w:r w:rsidR="004E09F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</w:t>
      </w:r>
      <w:r w:rsidR="00B55AB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="004E09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и Закона за бюджета на Националната здравноосигурителна каса за 202</w:t>
      </w:r>
      <w:r w:rsidR="00B55AB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="004E09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0A016C86" w14:textId="77777777" w:rsidR="000E0832" w:rsidRDefault="000E0832" w:rsidP="00A7238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3AD0F04" w14:textId="6378EE1A" w:rsidR="00B61F6B" w:rsidRPr="00B61F6B" w:rsidRDefault="00B61F6B" w:rsidP="00A7238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61F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</w:t>
      </w:r>
      <w:r w:rsidR="00F856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B61F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ГОСПО</w:t>
      </w:r>
      <w:r w:rsidR="00F856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ЖО</w:t>
      </w:r>
      <w:r w:rsidRPr="00B61F6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ПРЕДСЕДАТЕЛ,</w:t>
      </w:r>
    </w:p>
    <w:p w14:paraId="51261173" w14:textId="77777777" w:rsidR="00B61F6B" w:rsidRPr="00B61F6B" w:rsidRDefault="00B61F6B" w:rsidP="00A7238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C785280" w14:textId="740A1456" w:rsidR="00996AEA" w:rsidRDefault="00B61F6B" w:rsidP="00A7238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61F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Асоциацията на индустриалния капитал в България разгледа задълбочено горепосочените законопроекти и отчитайки настоящата икономическа</w:t>
      </w:r>
      <w:r w:rsidR="00B034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</w:t>
      </w:r>
      <w:r w:rsidRPr="00B61F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политическа</w:t>
      </w:r>
      <w:r w:rsidR="00FA699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ситуация</w:t>
      </w:r>
      <w:r w:rsidRPr="00B61F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България</w:t>
      </w:r>
      <w:r w:rsidR="002209F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, </w:t>
      </w:r>
      <w:r w:rsidRPr="00B61F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изразява следното становище:</w:t>
      </w:r>
    </w:p>
    <w:p w14:paraId="6F01DDA7" w14:textId="77777777" w:rsidR="00B61F6B" w:rsidRDefault="00B61F6B" w:rsidP="00A7238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35A131C0" w14:textId="273B6AA1" w:rsidR="00B61F6B" w:rsidRDefault="00B61F6B" w:rsidP="00FD71A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545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По проекта на Закон за държавния бюджет на Република България за 202</w:t>
      </w:r>
      <w:r w:rsidR="0044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4</w:t>
      </w:r>
      <w:r w:rsidRPr="00545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г.</w:t>
      </w:r>
    </w:p>
    <w:p w14:paraId="6E02335F" w14:textId="2FC9D446" w:rsidR="00F856B1" w:rsidRDefault="00F856B1" w:rsidP="00B55AB6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свое становище </w:t>
      </w:r>
      <w:r w:rsidR="00E03BD3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Асоциацията на индустриалния капитал в България </w:t>
      </w:r>
      <w:r w:rsidR="00B55A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направи своята прогноза за развитие на макроикономическите показатели на българската икономика и отправи препоръки за приоритетни политики, които да се реализират чрез </w:t>
      </w:r>
      <w:r w:rsidRPr="00C16C1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държавни</w:t>
      </w:r>
      <w:r w:rsidR="00B55A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 бюджет на Република България през</w:t>
      </w:r>
      <w:r w:rsidRPr="00C16C1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202</w:t>
      </w:r>
      <w:r w:rsidR="00B55A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Pr="00C16C1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55A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неудовлетворение констатираме, че представения</w:t>
      </w:r>
      <w:r w:rsidR="00440C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="00B55AB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проект на </w:t>
      </w:r>
      <w:r w:rsidR="00B55AB6" w:rsidRPr="00996AE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</w:t>
      </w:r>
      <w:r w:rsidR="00B55AB6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B55AB6" w:rsidRPr="00996A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държавния бюджет на Република България за 202</w:t>
      </w:r>
      <w:r w:rsidR="00B55AB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="00B55AB6" w:rsidRPr="00996A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B5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актуализирана средносрочна бюджетна прогноза за периода 2024-2026 г. не възприемат нито една от нашите препоръки. С Бюджет</w:t>
      </w:r>
      <w:r w:rsidR="00440C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B55A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2024 г.  Министерство на финансите вместо да търси възможности за фискална консолидация </w:t>
      </w:r>
      <w:r w:rsidR="003B2F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продължава политиката на увеличение на бюджетните разходи, нови бюджетни дефицити</w:t>
      </w:r>
      <w:r w:rsidR="008F33F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B2F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финансирани с нов държавен дълг и дестабилизация на публичните финанси. </w:t>
      </w:r>
    </w:p>
    <w:p w14:paraId="68A7594F" w14:textId="3F497386" w:rsidR="00B775A9" w:rsidRDefault="0034333B" w:rsidP="003B2F5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Удовлетворени сме, че предложеният от настоящото редовно правителство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проект на </w:t>
      </w:r>
      <w:r w:rsidRPr="00C16C1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 за държавния бюджет на Република България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</w:t>
      </w:r>
      <w:r w:rsidRPr="00C16C1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3B2F5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предвижда съществена промяна да данъчния модел и на основните данъчни ставки, въпреки че като цяло общата данъчно-осигурителна тежест за гражданите и бизнеса расте.</w:t>
      </w:r>
    </w:p>
    <w:p w14:paraId="076DE9F8" w14:textId="1125BF2E" w:rsidR="003F5406" w:rsidRPr="00B55AB6" w:rsidRDefault="003F5406" w:rsidP="003B2F5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Подкрепяме и рекордно високия размер на инвестиционната програма през 2024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особено планирания над 1 млрд. фонд за финансиране на общински проекти, но л</w:t>
      </w:r>
      <w:r w:rsidRPr="003F540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ипсва информация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кои </w:t>
      </w:r>
      <w:r w:rsidRPr="003F540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инвестиционни проекти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бъдат изпълнени през 2024 г.</w:t>
      </w:r>
      <w:r w:rsidRPr="003F540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9D48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Намаляването на капиталовата програма с 2.4 млрд.</w:t>
      </w:r>
      <w:r w:rsidR="00440C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9D48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</w:t>
      </w:r>
      <w:r w:rsidR="00440C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9D48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заради отпадането на планираните в приходната част на ДБ 2024 приходи от </w:t>
      </w:r>
      <w:r w:rsidR="009D48A9" w:rsidRPr="009D48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енергийна такса върху вноса и транзитния пренос на природен газ с произход от Русия</w:t>
      </w:r>
      <w:r w:rsidR="009D48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показва, че инвестиционната програма представлява по-скоро буфер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9D48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случай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9D48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че не се съберат планираните приходи, отколкото реално намерение за инвестиции в българската икономика. Липсва информация и </w:t>
      </w:r>
      <w:r w:rsidRPr="003F540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</w:t>
      </w:r>
      <w:r w:rsidR="009D48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изпълнението</w:t>
      </w:r>
      <w:r w:rsidRPr="003F540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проектите по НПВУ.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</w:t>
      </w:r>
    </w:p>
    <w:p w14:paraId="2C5E8A4E" w14:textId="3858DA76" w:rsidR="005A3B89" w:rsidRDefault="009D48A9" w:rsidP="00A7238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Конкретните ни аргументи за </w:t>
      </w:r>
      <w:proofErr w:type="spellStart"/>
      <w:r w:rsidRPr="009A3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неподкрепа</w:t>
      </w:r>
      <w:proofErr w:type="spellEnd"/>
      <w:r w:rsidRPr="009A3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на </w:t>
      </w:r>
      <w:r w:rsidR="00737110" w:rsidRPr="009A3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проекта</w:t>
      </w:r>
      <w:r w:rsidRPr="009A3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на</w:t>
      </w:r>
      <w:r w:rsidRPr="009A31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Закона за държавния бюджет на Република България за 202</w:t>
      </w:r>
      <w:r w:rsidRPr="009A31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4</w:t>
      </w:r>
      <w:r w:rsidRPr="009A31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следните:</w:t>
      </w:r>
    </w:p>
    <w:p w14:paraId="5D5CF5F0" w14:textId="3231120A" w:rsidR="009D48A9" w:rsidRPr="00E03BD3" w:rsidRDefault="009D48A9" w:rsidP="009D48A9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Прогнозата за 3,2 % ръст на БВП е твърде оптимистична (на границата на фантазията). Според данните за септември 2023 г. трендът за спад на промишленото производство се задълбочава. Икономиките на Германия, Нидерландия, Австрия, Дания, Естония са в рецесия и наблюдаваме забавяне на икономиките на всички основни търговски партньори на България. </w:t>
      </w:r>
      <w:r w:rsidR="00D252E9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амаляващ</w:t>
      </w:r>
      <w:r w:rsidR="00D252E9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и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тренд</w:t>
      </w:r>
      <w:r w:rsidR="008F33F2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ът</w:t>
      </w:r>
      <w:r w:rsidR="00D252E9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р</w:t>
      </w:r>
      <w:r w:rsidR="008F33F2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D252E9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стеж на българската икономика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1-2-3 тримесечие на 2023</w:t>
      </w:r>
      <w:r w:rsidR="00D252E9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252E9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2.1%</w:t>
      </w:r>
      <w:r w:rsidR="008F33F2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</w:t>
      </w:r>
      <w:r w:rsidR="008F33F2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1-во; 2.0%</w:t>
      </w:r>
      <w:r w:rsidR="008F33F2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</w:t>
      </w:r>
      <w:r w:rsidR="008F33F2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2-ро и</w:t>
      </w:r>
      <w:r w:rsidR="00D252E9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1.7% за 3-то тримесечие). ЕК прогнозира </w:t>
      </w:r>
      <w:r w:rsidR="00D252E9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ръст на БВП на България през 2024</w:t>
      </w:r>
      <w:r w:rsidR="008F33F2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 w:rsidR="00D252E9"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размер на 1.8%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A8381F" w:rsidRPr="00E5693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A8381F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Индустрията очаква спада в продажбите да продължи.</w:t>
      </w:r>
    </w:p>
    <w:p w14:paraId="47BB2534" w14:textId="6E21007B" w:rsidR="00D252E9" w:rsidRDefault="00D252E9" w:rsidP="00D252E9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Относително висока прогноза на ръста на инфлацията - 4.8% . ЕК прогнозира 4.0%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031C64C6" w14:textId="3BF1F81F" w:rsidR="00D252E9" w:rsidRDefault="00D252E9" w:rsidP="00D252E9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Неизпълнима прогноза за размер на приходите на КФП - 77,6 млрд. С 10.5 млрд. повече от очакваното изпълнение на приходите на КФП през 2023 г.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(67,2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млрд.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лв.) Ръст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ът на бюджетните приходи е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15,6% при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прогнозни инфлация -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4,8% и ръст на БВП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3,2%, общо 8%.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Разликата от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7.6% ръст на приходите трябва 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изпълнят от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повишена събираемост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приходите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(5 млрд.), което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според АИКБ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невъзможно.</w:t>
      </w:r>
    </w:p>
    <w:p w14:paraId="36DDE15E" w14:textId="1F8DCA99" w:rsidR="00D252E9" w:rsidRDefault="00D252E9" w:rsidP="00D252E9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Включването в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приходната част на КФП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енергийна такса върху вноса и транзитния пренос на природен газ с произход от Русия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(2.4 млрд.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лв.)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 съществен риск за бюджета и бюджетния дефицит, ако същата не бъде събрана.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Този условен приход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ще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осигурява финансиране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безусловни, сигурни разходи като пенсии, социални плащания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10FED5F0" w14:textId="0F324749" w:rsidR="00D252E9" w:rsidRDefault="00D252E9" w:rsidP="00D252E9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Запазване на понижените данъчни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ставки по ДДС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(хляб и брашно; ресторантьорски и кетъринг услуги)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21B1B69A" w14:textId="59A78278" w:rsidR="00D252E9" w:rsidRDefault="00D252E9" w:rsidP="00D252E9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Повишават се данъчните оценки и съответно </w:t>
      </w:r>
      <w:r w:rsid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анък 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„С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гради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ТБО, без да е направена реформата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въвеждаща принципа "Замърсителя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плаща".</w:t>
      </w:r>
    </w:p>
    <w:p w14:paraId="1FE20D70" w14:textId="165B0B74" w:rsidR="00D252E9" w:rsidRDefault="00D252E9" w:rsidP="00D252E9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Изземването на </w:t>
      </w:r>
      <w:r w:rsidRPr="00D252E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100% дивидент за държавата от държавните дружества и предприятия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превръща в трайна политика</w:t>
      </w:r>
      <w:r w:rsid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която </w:t>
      </w:r>
      <w:proofErr w:type="spellStart"/>
      <w:r w:rsid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декапитализира</w:t>
      </w:r>
      <w:proofErr w:type="spellEnd"/>
      <w:r w:rsid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дружествата, лишава ги от възможности за инвестиции и намалява конкурентоспособността им.</w:t>
      </w:r>
      <w:r w:rsidR="00A838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6F0D11AD" w14:textId="3763A316" w:rsidR="00ED178F" w:rsidRDefault="00ED178F" w:rsidP="00ED178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11,6 млрд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лв. повече бюджетни разходи в КФП спрямо очакваното изпълнение на бюджетните разходи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КФП през 2023 г. (73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мл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д.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лв.). Допълнителните раз</w:t>
      </w:r>
      <w:r w:rsidR="00A8381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хо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ди са функционално разпределени как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 следва: 2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млрд.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заплати;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2,5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млрд.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лв. за пенсии;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млрд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лв. за </w:t>
      </w:r>
      <w:r w:rsidR="008F33F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дравеопазване;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млрд.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лв. за военна техника;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млрд.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лв. за общински проекти. Продължава практиката за щедро финансиране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нереформирани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сектори.</w:t>
      </w:r>
    </w:p>
    <w:p w14:paraId="21359818" w14:textId="7EF1EADC" w:rsidR="00ED178F" w:rsidRPr="00E03BD3" w:rsidRDefault="00ED178F" w:rsidP="00ED178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Увеличение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разходите за 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заплатите и възнагражденията за полиция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ED17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вътрешен ред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сигурност с 367.3 млн.</w:t>
      </w:r>
      <w:r w:rsidR="008F33F2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лв. Липса на реформи в сектор сигурност</w:t>
      </w:r>
      <w:r w:rsidR="00A8381F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</w:t>
      </w:r>
      <w:r w:rsidR="008F33F2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олиция).</w:t>
      </w:r>
    </w:p>
    <w:p w14:paraId="431AFDC0" w14:textId="3504E44C" w:rsidR="00492978" w:rsidRPr="00E03BD3" w:rsidRDefault="00ED178F" w:rsidP="007F30DD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Увеличение на разходи</w:t>
      </w:r>
      <w:r w:rsidR="007F30DD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</w:t>
      </w:r>
      <w:proofErr w:type="spellStart"/>
      <w:r w:rsidR="007F30DD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нереформирания</w:t>
      </w:r>
      <w:proofErr w:type="spellEnd"/>
      <w:r w:rsidR="007F30DD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сектор "Здравеопазване"</w:t>
      </w:r>
      <w:r w:rsidR="00E56934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783D68F4" w14:textId="17B71366" w:rsidR="007F30DD" w:rsidRDefault="007F30DD" w:rsidP="007F30DD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Увеличение на издръ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жката на общите държавни служби</w:t>
      </w: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без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изисквания за</w:t>
      </w: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реформи. Липсват намерения за централизиране на дейности, </w:t>
      </w:r>
      <w:proofErr w:type="spellStart"/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аутсорсване</w:t>
      </w:r>
      <w:proofErr w:type="spellEnd"/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съкращаване на персонал и т.н.</w:t>
      </w:r>
    </w:p>
    <w:p w14:paraId="017E4CF0" w14:textId="1CA9C074" w:rsidR="007F30DD" w:rsidRDefault="007F30DD" w:rsidP="007F30DD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Увеличение на заплати и възнаграждения на заетите в бюджетния сектор без това да е съпроводено с редуциране на числеността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3748E74D" w14:textId="656FF716" w:rsidR="007F30DD" w:rsidRPr="00E03BD3" w:rsidRDefault="007F30DD" w:rsidP="007F30DD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3% дефицит при умерен ръст на икономиката е грешка.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Тази дефицитна бюджетна политика</w:t>
      </w: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оди до нов дълг от над 6,4 млрд.</w:t>
      </w:r>
      <w:r w:rsidR="007950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през 2024 г.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Размерът на дълга към края на 202</w:t>
      </w:r>
      <w:r w:rsidR="00A8381F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 е 36 млрд.</w:t>
      </w:r>
      <w:r w:rsidR="00795035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лв.</w:t>
      </w:r>
      <w:r w:rsidR="00795035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 66,6 млрд. ще бъде размер</w:t>
      </w:r>
      <w:r w:rsidR="00795035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ът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дълг към края на 2026 г. Ръст с 30 млрд.</w:t>
      </w:r>
      <w:r w:rsidR="00A8381F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</w:t>
      </w:r>
      <w:r w:rsidR="00795035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почти удвояване на дълга за </w:t>
      </w:r>
      <w:r w:rsidR="00037014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един мандат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Съответно разходите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за лихви за обслужване на дълга ще растат от 0.652 млрд.</w:t>
      </w:r>
      <w:r w:rsidR="00795035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лв. през 202</w:t>
      </w:r>
      <w:r w:rsidR="00037014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="00795035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г. и  2.260</w:t>
      </w:r>
      <w:r w:rsidR="00037014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(1%) млрд.</w:t>
      </w:r>
      <w:r w:rsidR="00037014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</w:t>
      </w:r>
      <w:r w:rsidR="00795035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2026 г.</w:t>
      </w:r>
      <w:r w:rsidR="00037014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ръст близо 4 пъти.</w:t>
      </w:r>
    </w:p>
    <w:p w14:paraId="6BC0AE5B" w14:textId="74091B1B" w:rsidR="007F30DD" w:rsidRPr="00E03BD3" w:rsidRDefault="007F30DD" w:rsidP="007F30DD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Продължава практиката за </w:t>
      </w:r>
      <w:proofErr w:type="spellStart"/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пререгулиране</w:t>
      </w:r>
      <w:proofErr w:type="spellEnd"/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увеличена административна тежест за бизнеса. Например праговете за задължителен фина</w:t>
      </w:r>
      <w:r w:rsidR="005D3D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нсов одит с</w:t>
      </w: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 4 пъти по рестриктивни отколкото са определени от Директивата на ЕС. Създават се преко</w:t>
      </w:r>
      <w:r w:rsidR="005D3D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</w:t>
      </w:r>
      <w:r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ерни и излишни административни и финансови тежести на МСП.</w:t>
      </w:r>
      <w:r w:rsidR="005D3D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D3D93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Законовата лихва остава прекомерно висока – ОЛП + 10 % и др.</w:t>
      </w:r>
      <w:r w:rsidR="005F070D" w:rsidRPr="00E03B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но за сметка на това остава непроменен недостатъчния лимит за ваучери за храна.</w:t>
      </w:r>
    </w:p>
    <w:p w14:paraId="669A5E37" w14:textId="192F282E" w:rsidR="0021515A" w:rsidRDefault="005D3D93" w:rsidP="0021515A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Определеният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нес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нижаем</w:t>
      </w:r>
      <w:proofErr w:type="spellEnd"/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остатък на Фиска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ния резерв в размер на 4.5 млрд.</w:t>
      </w:r>
      <w:r w:rsidR="00F0265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лв</w:t>
      </w:r>
      <w:r w:rsidR="00F0265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вече е крайно недостатъчен, за да изпълнява основната си функция</w:t>
      </w:r>
      <w:r w:rsid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</w:t>
      </w:r>
      <w:r w:rsid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осигуряване на ликв</w:t>
      </w:r>
      <w:r w:rsid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идност на публичните финанси. Ощ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 по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вече, че част от този резерв са целеви финансови средства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(Сребърен фонд, фонд</w:t>
      </w:r>
      <w:r w:rsidR="005F0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"Козлодуй" и др.) и не могат да бъдат използвани за осигуряване на ликвидност. Фискалният резерв беше замислен при учредяването си така, че да осигури финансово обезпечение на бюджетните разходи за 3</w:t>
      </w:r>
      <w:r w:rsidR="0079503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- 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месечен период. В настоящия момент 4.5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млрд. изпълняват тази функция </w:t>
      </w:r>
      <w:r w:rsid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повече от</w:t>
      </w:r>
      <w:r w:rsidR="007F30DD" w:rsidRPr="007F30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3 седмици.</w:t>
      </w:r>
    </w:p>
    <w:p w14:paraId="424795DC" w14:textId="0104B22F" w:rsidR="0021515A" w:rsidRPr="001B7288" w:rsidRDefault="009A31CE" w:rsidP="00E03BD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E03B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Такъв бюджет</w:t>
      </w:r>
      <w:r w:rsidR="0021515A" w:rsidRPr="00E03B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прахосва спестеното фискално пространство</w:t>
      </w:r>
      <w:r w:rsidR="00795035" w:rsidRPr="00E03B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,</w:t>
      </w:r>
      <w:r w:rsidR="0021515A" w:rsidRPr="00E03B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без да инвестира в реформи, продължава </w:t>
      </w:r>
      <w:proofErr w:type="spellStart"/>
      <w:r w:rsidR="0021515A" w:rsidRPr="00E03B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нетаргетирано</w:t>
      </w:r>
      <w:proofErr w:type="spellEnd"/>
      <w:r w:rsidR="0021515A" w:rsidRPr="00E03B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да раздава пари „на калпак“, съдържа съществен риск за прекомерен дефицит и</w:t>
      </w:r>
      <w:r w:rsidR="0021515A" w:rsidRPr="00E03B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1515A" w:rsidRPr="00E03B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ни отдалечава от еврозоната</w:t>
      </w:r>
      <w:r w:rsidR="0021515A" w:rsidRPr="00E03B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.</w:t>
      </w:r>
    </w:p>
    <w:p w14:paraId="71470A04" w14:textId="0D62C707" w:rsidR="007F30DD" w:rsidRDefault="007F30DD" w:rsidP="007F30D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</w:pPr>
    </w:p>
    <w:p w14:paraId="444209ED" w14:textId="53A65065" w:rsidR="00B61F6B" w:rsidRPr="00B61F6B" w:rsidRDefault="00B61F6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B6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По проекта на Закон за бюджета на държавното обществено осигуряване за </w:t>
      </w:r>
      <w:r w:rsidR="003C1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 w:eastAsia="ar-SA"/>
        </w:rPr>
        <w:t>20</w:t>
      </w:r>
      <w:r w:rsidRPr="00B6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2</w:t>
      </w:r>
      <w:r w:rsidR="00FD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4</w:t>
      </w:r>
      <w:r w:rsidRPr="00B6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г.</w:t>
      </w:r>
    </w:p>
    <w:p w14:paraId="7E41BC94" w14:textId="2C345C1D" w:rsidR="00FD2572" w:rsidRDefault="00FD2572" w:rsidP="00FD2572">
      <w:pPr>
        <w:widowControl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АИКБ подкрепя предложението предприятията да</w:t>
      </w:r>
      <w:r w:rsidRPr="00FD2572">
        <w:rPr>
          <w:rFonts w:ascii="Times New Roman" w:hAnsi="Times New Roman"/>
          <w:sz w:val="24"/>
          <w:szCs w:val="24"/>
        </w:rPr>
        <w:t xml:space="preserve"> заплащат първите 2 дни от отпуска за временна нетрудоспособност.</w:t>
      </w:r>
      <w:r>
        <w:rPr>
          <w:rFonts w:ascii="Times New Roman" w:hAnsi="Times New Roman"/>
          <w:sz w:val="24"/>
          <w:szCs w:val="24"/>
        </w:rPr>
        <w:t xml:space="preserve"> Това е</w:t>
      </w:r>
      <w:r w:rsidRPr="00FD2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FD2572">
        <w:rPr>
          <w:rFonts w:ascii="Times New Roman" w:hAnsi="Times New Roman"/>
          <w:sz w:val="24"/>
          <w:szCs w:val="24"/>
        </w:rPr>
        <w:t xml:space="preserve">астично решаване на </w:t>
      </w:r>
      <w:r w:rsidRPr="00E03BD3">
        <w:rPr>
          <w:rFonts w:ascii="Times New Roman" w:hAnsi="Times New Roman"/>
          <w:sz w:val="24"/>
          <w:szCs w:val="24"/>
        </w:rPr>
        <w:t>1</w:t>
      </w:r>
      <w:r w:rsidR="00084797" w:rsidRPr="00E03BD3">
        <w:rPr>
          <w:rFonts w:ascii="Times New Roman" w:hAnsi="Times New Roman"/>
          <w:sz w:val="24"/>
          <w:szCs w:val="24"/>
        </w:rPr>
        <w:t>2</w:t>
      </w:r>
      <w:r w:rsidR="00795035">
        <w:rPr>
          <w:rFonts w:ascii="Times New Roman" w:hAnsi="Times New Roman"/>
          <w:sz w:val="24"/>
          <w:szCs w:val="24"/>
        </w:rPr>
        <w:t xml:space="preserve"> - </w:t>
      </w:r>
      <w:r w:rsidRPr="00FD2572">
        <w:rPr>
          <w:rFonts w:ascii="Times New Roman" w:hAnsi="Times New Roman"/>
          <w:sz w:val="24"/>
          <w:szCs w:val="24"/>
        </w:rPr>
        <w:t>годишна несправедливост.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78C290" w14:textId="7CE19DED" w:rsidR="00FD2572" w:rsidRPr="00FD2572" w:rsidRDefault="00FD2572" w:rsidP="00FD2572">
      <w:pPr>
        <w:widowControl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Подкрепяме и запазването </w:t>
      </w:r>
      <w:r w:rsidR="00795035">
        <w:rPr>
          <w:rFonts w:ascii="Times New Roman" w:hAnsi="Times New Roman"/>
          <w:sz w:val="24"/>
          <w:szCs w:val="24"/>
        </w:rPr>
        <w:t xml:space="preserve">на </w:t>
      </w:r>
      <w:r w:rsidRPr="00FD2572">
        <w:rPr>
          <w:rFonts w:ascii="Times New Roman" w:hAnsi="Times New Roman"/>
          <w:sz w:val="24"/>
          <w:szCs w:val="24"/>
        </w:rPr>
        <w:t>размерите на минималното и максималното обезщетение за безработица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D2572">
        <w:rPr>
          <w:rFonts w:ascii="Times New Roman" w:hAnsi="Times New Roman"/>
          <w:sz w:val="24"/>
          <w:szCs w:val="24"/>
        </w:rPr>
        <w:t>размер</w:t>
      </w:r>
      <w:r>
        <w:rPr>
          <w:rFonts w:ascii="Times New Roman" w:hAnsi="Times New Roman"/>
          <w:sz w:val="24"/>
          <w:szCs w:val="24"/>
        </w:rPr>
        <w:t>а</w:t>
      </w:r>
      <w:r w:rsidRPr="00FD2572">
        <w:rPr>
          <w:rFonts w:ascii="Times New Roman" w:hAnsi="Times New Roman"/>
          <w:sz w:val="24"/>
          <w:szCs w:val="24"/>
        </w:rPr>
        <w:t xml:space="preserve"> на обезщетението за отглеждане на малко дете до 2 год.</w:t>
      </w:r>
    </w:p>
    <w:p w14:paraId="3483953A" w14:textId="47D066DA" w:rsidR="00B61F6B" w:rsidRDefault="00B61F6B" w:rsidP="00A72386">
      <w:pPr>
        <w:widowControl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1F6B">
        <w:rPr>
          <w:rFonts w:ascii="Times New Roman" w:hAnsi="Times New Roman"/>
          <w:sz w:val="24"/>
          <w:szCs w:val="24"/>
        </w:rPr>
        <w:t>АИКБ смята, че през последните години политическите партии, водени от политически популизъм и търсейки бърза и пряка политическа и електорална изгода, приеха решения и извършиха действия и бездействия, които разрушават пенсионноосигурителния модел в България. Предложеният законопроект затвърждава това наше становище - защото предлага продължаване на политики и мерки, които не подкрепяме, като:</w:t>
      </w:r>
    </w:p>
    <w:p w14:paraId="3BF3D86B" w14:textId="5E5D99D0" w:rsidR="00B21F20" w:rsidRDefault="00B21F20" w:rsidP="00B21F20">
      <w:pPr>
        <w:pStyle w:val="ListParagraph"/>
        <w:widowControl w:val="0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21F20">
        <w:rPr>
          <w:rFonts w:ascii="Times New Roman" w:hAnsi="Times New Roman"/>
          <w:sz w:val="24"/>
          <w:szCs w:val="24"/>
        </w:rPr>
        <w:t>Увеличение на МРЗ</w:t>
      </w:r>
      <w:r w:rsidR="00795035">
        <w:rPr>
          <w:rFonts w:ascii="Times New Roman" w:hAnsi="Times New Roman"/>
          <w:sz w:val="24"/>
          <w:szCs w:val="24"/>
        </w:rPr>
        <w:t xml:space="preserve"> </w:t>
      </w:r>
      <w:r w:rsidRPr="00B21F20">
        <w:rPr>
          <w:rFonts w:ascii="Times New Roman" w:hAnsi="Times New Roman"/>
          <w:sz w:val="24"/>
          <w:szCs w:val="24"/>
        </w:rPr>
        <w:t>-</w:t>
      </w:r>
      <w:r w:rsidR="00795035">
        <w:rPr>
          <w:rFonts w:ascii="Times New Roman" w:hAnsi="Times New Roman"/>
          <w:sz w:val="24"/>
          <w:szCs w:val="24"/>
        </w:rPr>
        <w:t xml:space="preserve"> </w:t>
      </w:r>
      <w:r w:rsidRPr="00B21F20">
        <w:rPr>
          <w:rFonts w:ascii="Times New Roman" w:hAnsi="Times New Roman"/>
          <w:sz w:val="24"/>
          <w:szCs w:val="24"/>
        </w:rPr>
        <w:t>933 лв. (20% ръст на МРЗ, при 1.7% ръст на производителността и 6,3% инфлация). Формулата за изчисляване на МРЗ не изпълнява изискванията на Директива за МРЗ и Конвенция 131 на МОТ и негативно влияе на трудовия пазар и развитието на българската икономика</w:t>
      </w:r>
      <w:r>
        <w:rPr>
          <w:rFonts w:ascii="Times New Roman" w:hAnsi="Times New Roman"/>
          <w:sz w:val="24"/>
          <w:szCs w:val="24"/>
        </w:rPr>
        <w:t>;</w:t>
      </w:r>
    </w:p>
    <w:p w14:paraId="628EB27D" w14:textId="76FB2858" w:rsidR="00B21F20" w:rsidRDefault="00B21F20" w:rsidP="00B21F20">
      <w:pPr>
        <w:pStyle w:val="ListParagraph"/>
        <w:widowControl w:val="0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на </w:t>
      </w:r>
      <w:r w:rsidRPr="00B21F20">
        <w:rPr>
          <w:rFonts w:ascii="Times New Roman" w:hAnsi="Times New Roman"/>
          <w:sz w:val="24"/>
          <w:szCs w:val="24"/>
        </w:rPr>
        <w:t>максимален осигурителен доход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B21F20">
        <w:rPr>
          <w:rFonts w:ascii="Times New Roman" w:hAnsi="Times New Roman"/>
          <w:sz w:val="24"/>
          <w:szCs w:val="24"/>
        </w:rPr>
        <w:t xml:space="preserve"> 3750 лв. и последващ ръст по 300-350 лв. год. АИКБ смята за обоснован </w:t>
      </w:r>
      <w:proofErr w:type="spellStart"/>
      <w:r w:rsidRPr="00B21F20">
        <w:rPr>
          <w:rFonts w:ascii="Times New Roman" w:hAnsi="Times New Roman"/>
          <w:sz w:val="24"/>
          <w:szCs w:val="24"/>
        </w:rPr>
        <w:t>МаксОД</w:t>
      </w:r>
      <w:proofErr w:type="spellEnd"/>
      <w:r w:rsidR="00084797">
        <w:rPr>
          <w:rFonts w:ascii="Times New Roman" w:hAnsi="Times New Roman"/>
          <w:sz w:val="24"/>
          <w:szCs w:val="24"/>
        </w:rPr>
        <w:t xml:space="preserve"> = </w:t>
      </w:r>
      <w:r w:rsidRPr="00B21F20">
        <w:rPr>
          <w:rFonts w:ascii="Times New Roman" w:hAnsi="Times New Roman"/>
          <w:sz w:val="24"/>
          <w:szCs w:val="24"/>
        </w:rPr>
        <w:t xml:space="preserve">1460 </w:t>
      </w:r>
      <w:r w:rsidR="00084797">
        <w:rPr>
          <w:rFonts w:ascii="Times New Roman" w:hAnsi="Times New Roman"/>
          <w:sz w:val="24"/>
          <w:szCs w:val="24"/>
        </w:rPr>
        <w:t>(</w:t>
      </w:r>
      <w:r w:rsidRPr="00B21F20">
        <w:rPr>
          <w:rFonts w:ascii="Times New Roman" w:hAnsi="Times New Roman"/>
          <w:sz w:val="24"/>
          <w:szCs w:val="24"/>
        </w:rPr>
        <w:t>СОД</w:t>
      </w:r>
      <w:r w:rsidR="00084797">
        <w:rPr>
          <w:rFonts w:ascii="Times New Roman" w:hAnsi="Times New Roman"/>
          <w:sz w:val="24"/>
          <w:szCs w:val="24"/>
        </w:rPr>
        <w:t>)</w:t>
      </w:r>
      <w:r w:rsidRPr="00B21F20">
        <w:rPr>
          <w:rFonts w:ascii="Times New Roman" w:hAnsi="Times New Roman"/>
          <w:sz w:val="24"/>
          <w:szCs w:val="24"/>
        </w:rPr>
        <w:t xml:space="preserve"> х 2.5 = 3650 лв.</w:t>
      </w:r>
    </w:p>
    <w:p w14:paraId="362FA7CA" w14:textId="4F3EBCCF" w:rsidR="00B21F20" w:rsidRPr="00B21F20" w:rsidRDefault="00B21F20" w:rsidP="00B21F20">
      <w:pPr>
        <w:pStyle w:val="ListParagraph"/>
        <w:widowControl w:val="0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21F20">
        <w:rPr>
          <w:rFonts w:ascii="Times New Roman" w:hAnsi="Times New Roman"/>
          <w:sz w:val="24"/>
          <w:szCs w:val="24"/>
        </w:rPr>
        <w:t>Увеличаване на минималния осигурителен доход за самоосигуряващите се лица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21F20">
        <w:rPr>
          <w:rFonts w:ascii="Times New Roman" w:hAnsi="Times New Roman"/>
          <w:sz w:val="24"/>
          <w:szCs w:val="24"/>
        </w:rPr>
        <w:t>за регистрираните земеделски стопани и тютюнопроизводители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F20">
        <w:rPr>
          <w:rFonts w:ascii="Times New Roman" w:hAnsi="Times New Roman"/>
          <w:sz w:val="24"/>
          <w:szCs w:val="24"/>
        </w:rPr>
        <w:t>в размер на 933 лв.</w:t>
      </w:r>
    </w:p>
    <w:p w14:paraId="55FDD474" w14:textId="6FBE905C" w:rsidR="00B21F20" w:rsidRPr="008B104F" w:rsidRDefault="00B21F20" w:rsidP="00B21F20">
      <w:pPr>
        <w:pStyle w:val="ListParagraph"/>
        <w:widowControl w:val="0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B104F">
        <w:rPr>
          <w:rFonts w:ascii="Times New Roman" w:hAnsi="Times New Roman"/>
          <w:sz w:val="24"/>
          <w:szCs w:val="24"/>
        </w:rPr>
        <w:t>Запазване на рудимента -  минимални осигурителни доходи, които социалните партньори престанаха да договарят, тъй като нямат практическа стойност и представляват тежест, както и административното им увеличение като следствие на увеличената минимална работна заплата;</w:t>
      </w:r>
    </w:p>
    <w:p w14:paraId="7E358034" w14:textId="775599DD" w:rsidR="00B21F20" w:rsidRDefault="00B21F20" w:rsidP="00B21F20">
      <w:pPr>
        <w:pStyle w:val="ListParagraph"/>
        <w:widowControl w:val="0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92978">
        <w:rPr>
          <w:rFonts w:ascii="Times New Roman" w:hAnsi="Times New Roman"/>
          <w:sz w:val="24"/>
          <w:szCs w:val="24"/>
        </w:rPr>
        <w:t xml:space="preserve">Запазването  на допълнителното възнаграждение за прослужено време (класове) – определяно административно дискриминационно плащане, без аналог в Европа, </w:t>
      </w:r>
      <w:r>
        <w:rPr>
          <w:rFonts w:ascii="Times New Roman" w:hAnsi="Times New Roman"/>
          <w:sz w:val="24"/>
          <w:szCs w:val="24"/>
        </w:rPr>
        <w:t>обременяващо</w:t>
      </w:r>
      <w:r w:rsidRPr="00492978">
        <w:rPr>
          <w:rFonts w:ascii="Times New Roman" w:hAnsi="Times New Roman"/>
          <w:sz w:val="24"/>
          <w:szCs w:val="24"/>
        </w:rPr>
        <w:t xml:space="preserve"> частния сектор</w:t>
      </w:r>
    </w:p>
    <w:p w14:paraId="724D762B" w14:textId="77777777" w:rsidR="00B21F20" w:rsidRPr="00492978" w:rsidRDefault="00B21F20" w:rsidP="00B21F20">
      <w:pPr>
        <w:pStyle w:val="ListParagraph"/>
        <w:widowControl w:val="0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92978">
        <w:rPr>
          <w:rFonts w:ascii="Times New Roman" w:hAnsi="Times New Roman"/>
          <w:sz w:val="24"/>
          <w:szCs w:val="24"/>
        </w:rPr>
        <w:t xml:space="preserve">Запазването на продължителността на отпуск за бременност и раждане (410 дни) - </w:t>
      </w:r>
      <w:r w:rsidRPr="00492978">
        <w:rPr>
          <w:rFonts w:ascii="Times New Roman" w:hAnsi="Times New Roman"/>
          <w:sz w:val="24"/>
          <w:szCs w:val="24"/>
        </w:rPr>
        <w:lastRenderedPageBreak/>
        <w:t xml:space="preserve">най-дългият подобен отпуск в Европа и последващ отпуск върху този отпуск за сметка на предприятията; </w:t>
      </w:r>
    </w:p>
    <w:p w14:paraId="29FCACD2" w14:textId="1C47BB19" w:rsidR="00B21F20" w:rsidRPr="00B21F20" w:rsidRDefault="00FD2572" w:rsidP="00FD2572">
      <w:pPr>
        <w:pStyle w:val="ListParagraph"/>
        <w:widowControl w:val="0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D2572">
        <w:rPr>
          <w:rFonts w:ascii="Times New Roman" w:hAnsi="Times New Roman"/>
          <w:sz w:val="24"/>
          <w:szCs w:val="24"/>
        </w:rPr>
        <w:t>Липса на реформи в медицинската и трудовата експертиза и в отпускането на инвалидни пенсии. Нов ръст на ИП</w:t>
      </w:r>
      <w:r>
        <w:rPr>
          <w:rFonts w:ascii="Times New Roman" w:hAnsi="Times New Roman"/>
          <w:sz w:val="24"/>
          <w:szCs w:val="24"/>
        </w:rPr>
        <w:t xml:space="preserve"> с 3%</w:t>
      </w:r>
      <w:r w:rsidR="00084797">
        <w:rPr>
          <w:rFonts w:ascii="Times New Roman" w:hAnsi="Times New Roman"/>
          <w:sz w:val="24"/>
          <w:szCs w:val="24"/>
        </w:rPr>
        <w:t xml:space="preserve"> </w:t>
      </w:r>
      <w:r w:rsidR="00084797" w:rsidRPr="00E03BD3">
        <w:rPr>
          <w:rFonts w:ascii="Times New Roman" w:hAnsi="Times New Roman"/>
          <w:sz w:val="24"/>
          <w:szCs w:val="24"/>
        </w:rPr>
        <w:t>при намаляващо население</w:t>
      </w:r>
      <w:r w:rsidRPr="00E56934">
        <w:rPr>
          <w:rFonts w:ascii="Times New Roman" w:hAnsi="Times New Roman"/>
          <w:sz w:val="24"/>
          <w:szCs w:val="24"/>
        </w:rPr>
        <w:t>.</w:t>
      </w:r>
      <w:r w:rsidRPr="00FD2572">
        <w:rPr>
          <w:rFonts w:ascii="Times New Roman" w:hAnsi="Times New Roman"/>
          <w:sz w:val="24"/>
          <w:szCs w:val="24"/>
        </w:rPr>
        <w:t xml:space="preserve"> Няма мерки срещу източване на социални фондове - професионални безработни, мними болни, мними инвалиди.</w:t>
      </w:r>
    </w:p>
    <w:p w14:paraId="5156785C" w14:textId="1439A173" w:rsidR="00B61F6B" w:rsidRPr="001057F8" w:rsidRDefault="00B61F6B" w:rsidP="00E03BD3">
      <w:pPr>
        <w:widowControl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57F8">
        <w:rPr>
          <w:rFonts w:ascii="Times New Roman" w:hAnsi="Times New Roman"/>
          <w:sz w:val="24"/>
          <w:szCs w:val="24"/>
        </w:rPr>
        <w:t xml:space="preserve">Гореописаните политики, провеждани посредством проекта за бюджет, дават основание на АИКБ да </w:t>
      </w:r>
      <w:r w:rsidR="001057F8">
        <w:rPr>
          <w:rFonts w:ascii="Times New Roman" w:hAnsi="Times New Roman"/>
          <w:sz w:val="24"/>
          <w:szCs w:val="24"/>
        </w:rPr>
        <w:t>се въздържи от</w:t>
      </w:r>
      <w:r w:rsidRPr="001057F8">
        <w:rPr>
          <w:rFonts w:ascii="Times New Roman" w:hAnsi="Times New Roman"/>
          <w:sz w:val="24"/>
          <w:szCs w:val="24"/>
        </w:rPr>
        <w:t xml:space="preserve"> подкрепа на проекта на Закона за бюджета на държавното обществено осигуряване за 202</w:t>
      </w:r>
      <w:r w:rsidR="00CC62D6">
        <w:rPr>
          <w:rFonts w:ascii="Times New Roman" w:hAnsi="Times New Roman"/>
          <w:sz w:val="24"/>
          <w:szCs w:val="24"/>
        </w:rPr>
        <w:t>4</w:t>
      </w:r>
      <w:r w:rsidRPr="001057F8">
        <w:rPr>
          <w:rFonts w:ascii="Times New Roman" w:hAnsi="Times New Roman"/>
          <w:sz w:val="24"/>
          <w:szCs w:val="24"/>
        </w:rPr>
        <w:t xml:space="preserve"> г.</w:t>
      </w:r>
    </w:p>
    <w:p w14:paraId="0257D9FA" w14:textId="77777777" w:rsidR="00097755" w:rsidRDefault="00097755" w:rsidP="00FD71A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</w:pPr>
    </w:p>
    <w:p w14:paraId="7D5438DC" w14:textId="115BFFC5" w:rsidR="00D6397E" w:rsidRPr="00D6397E" w:rsidRDefault="00D6397E" w:rsidP="00FD71AC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D6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По проекта на Закон за бюджета на Националната здравноосигурителна каса за 202</w:t>
      </w:r>
      <w:r w:rsidR="00A52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4</w:t>
      </w:r>
      <w:r w:rsidRPr="00D6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г.</w:t>
      </w:r>
    </w:p>
    <w:p w14:paraId="30428D5F" w14:textId="0A452278" w:rsidR="00866052" w:rsidRDefault="00D6397E" w:rsidP="00A52D4C">
      <w:pPr>
        <w:widowControl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7A2C">
        <w:rPr>
          <w:rFonts w:ascii="Times New Roman" w:hAnsi="Times New Roman"/>
          <w:sz w:val="24"/>
          <w:szCs w:val="24"/>
        </w:rPr>
        <w:t>Здравноосигурителната система има спешна нужда от план за развитие, който да обезпечава реализирането на конкретни реформи. Така например</w:t>
      </w:r>
      <w:r w:rsidR="00795035">
        <w:rPr>
          <w:rFonts w:ascii="Times New Roman" w:hAnsi="Times New Roman"/>
          <w:sz w:val="24"/>
          <w:szCs w:val="24"/>
        </w:rPr>
        <w:t xml:space="preserve"> - </w:t>
      </w:r>
      <w:r w:rsidRPr="00F67A2C">
        <w:rPr>
          <w:rFonts w:ascii="Times New Roman" w:hAnsi="Times New Roman"/>
          <w:sz w:val="24"/>
          <w:szCs w:val="24"/>
        </w:rPr>
        <w:t>увеличаването на дела на средствата за скрининг следва да се извършва на базата на нови, европейски стандарти за профилактични прегледи на населението.</w:t>
      </w:r>
      <w:r w:rsidR="00A52D4C">
        <w:rPr>
          <w:rFonts w:ascii="Times New Roman" w:hAnsi="Times New Roman"/>
          <w:sz w:val="24"/>
          <w:szCs w:val="24"/>
        </w:rPr>
        <w:t xml:space="preserve"> От предложения проект на </w:t>
      </w:r>
      <w:r w:rsidR="00A52D4C" w:rsidRPr="00A52D4C">
        <w:rPr>
          <w:rFonts w:ascii="Times New Roman" w:hAnsi="Times New Roman"/>
          <w:sz w:val="24"/>
          <w:szCs w:val="24"/>
        </w:rPr>
        <w:t xml:space="preserve">Закон за бюджета на Националната </w:t>
      </w:r>
      <w:r w:rsidR="00A52D4C">
        <w:rPr>
          <w:rFonts w:ascii="Times New Roman" w:hAnsi="Times New Roman"/>
          <w:sz w:val="24"/>
          <w:szCs w:val="24"/>
        </w:rPr>
        <w:t>здравноосигурителна каса за 2024</w:t>
      </w:r>
      <w:r w:rsidR="00A52D4C" w:rsidRPr="00A52D4C">
        <w:rPr>
          <w:rFonts w:ascii="Times New Roman" w:hAnsi="Times New Roman"/>
          <w:sz w:val="24"/>
          <w:szCs w:val="24"/>
        </w:rPr>
        <w:t xml:space="preserve"> г.</w:t>
      </w:r>
      <w:r w:rsidR="00A52D4C">
        <w:rPr>
          <w:rFonts w:ascii="Times New Roman" w:hAnsi="Times New Roman"/>
          <w:sz w:val="24"/>
          <w:szCs w:val="24"/>
        </w:rPr>
        <w:t xml:space="preserve"> въпреки ръста на бюджета</w:t>
      </w:r>
      <w:r w:rsidR="00E03BD3">
        <w:rPr>
          <w:rFonts w:ascii="Times New Roman" w:hAnsi="Times New Roman"/>
          <w:sz w:val="24"/>
          <w:szCs w:val="24"/>
        </w:rPr>
        <w:t xml:space="preserve"> </w:t>
      </w:r>
      <w:r w:rsidR="00A52D4C">
        <w:rPr>
          <w:rFonts w:ascii="Times New Roman" w:hAnsi="Times New Roman"/>
          <w:sz w:val="24"/>
          <w:szCs w:val="24"/>
        </w:rPr>
        <w:t xml:space="preserve">липсва заявка за дългоочакваната реформа, което е достатъчно основание АИКБ да се въздържи от подкрепа на </w:t>
      </w:r>
      <w:r w:rsidRPr="00D6397E">
        <w:rPr>
          <w:rFonts w:ascii="Times New Roman" w:hAnsi="Times New Roman"/>
          <w:sz w:val="24"/>
          <w:szCs w:val="24"/>
        </w:rPr>
        <w:t>проекта на Закон за бюджета на Националната здравноосигурителна каса за 202</w:t>
      </w:r>
      <w:r w:rsidR="00A52D4C">
        <w:rPr>
          <w:rFonts w:ascii="Times New Roman" w:hAnsi="Times New Roman"/>
          <w:sz w:val="24"/>
          <w:szCs w:val="24"/>
        </w:rPr>
        <w:t>4</w:t>
      </w:r>
      <w:r w:rsidRPr="00D6397E">
        <w:rPr>
          <w:rFonts w:ascii="Times New Roman" w:hAnsi="Times New Roman"/>
          <w:sz w:val="24"/>
          <w:szCs w:val="24"/>
        </w:rPr>
        <w:t xml:space="preserve"> г.</w:t>
      </w:r>
    </w:p>
    <w:p w14:paraId="6A89D51E" w14:textId="77777777" w:rsidR="00097755" w:rsidRDefault="00097755" w:rsidP="00A72386">
      <w:pPr>
        <w:widowControl w:val="0"/>
        <w:spacing w:after="0" w:line="288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C1102B" w14:textId="4F5A0DA0" w:rsidR="003C5E68" w:rsidRDefault="003C5E68" w:rsidP="00A723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F76409" w14:textId="77777777" w:rsidR="003C5E68" w:rsidRPr="00F83006" w:rsidRDefault="003C5E68" w:rsidP="00A7238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B82875" w14:textId="77777777" w:rsidR="008B104F" w:rsidRDefault="008B104F" w:rsidP="00A72386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99F2D" w14:textId="77777777" w:rsidR="004C20D4" w:rsidRPr="00E31494" w:rsidRDefault="004C20D4" w:rsidP="00A72386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494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14:paraId="69660513" w14:textId="1D396359" w:rsidR="0045582C" w:rsidRDefault="0045582C" w:rsidP="00A72386">
      <w:pPr>
        <w:spacing w:after="0" w:line="288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5D706" w14:textId="53B76842" w:rsidR="004C20D4" w:rsidRPr="00E31494" w:rsidRDefault="004C20D4" w:rsidP="00A72386">
      <w:pPr>
        <w:spacing w:after="0" w:line="288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494">
        <w:rPr>
          <w:rFonts w:ascii="Times New Roman" w:hAnsi="Times New Roman" w:cs="Times New Roman"/>
          <w:b/>
          <w:sz w:val="24"/>
          <w:szCs w:val="24"/>
        </w:rPr>
        <w:t xml:space="preserve">ВАСИЛ ВЕЛЕВ, </w:t>
      </w:r>
    </w:p>
    <w:p w14:paraId="2BF49BD6" w14:textId="613E249C" w:rsidR="004C20D4" w:rsidRPr="00E31494" w:rsidRDefault="004C20D4" w:rsidP="00A72386">
      <w:pPr>
        <w:spacing w:after="0" w:line="288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494">
        <w:rPr>
          <w:rFonts w:ascii="Times New Roman" w:hAnsi="Times New Roman" w:cs="Times New Roman"/>
          <w:b/>
          <w:sz w:val="24"/>
          <w:szCs w:val="24"/>
        </w:rPr>
        <w:t xml:space="preserve">ПРЕДСЕДАТЕЛ НА УПРАВИТЕЛНИЯ СЪВЕТ </w:t>
      </w:r>
    </w:p>
    <w:p w14:paraId="5EC5B1FF" w14:textId="280F5807" w:rsidR="00851667" w:rsidRPr="00851667" w:rsidRDefault="004C20D4" w:rsidP="00A72386">
      <w:pPr>
        <w:spacing w:after="0" w:line="288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31494">
        <w:rPr>
          <w:rFonts w:ascii="Times New Roman" w:hAnsi="Times New Roman" w:cs="Times New Roman"/>
          <w:b/>
          <w:sz w:val="24"/>
          <w:szCs w:val="24"/>
        </w:rPr>
        <w:t>НА АСОЦИАЦИЯ НА ИНДУСТРИАЛНИЯ КАПИТАЛ В БЪЛГАРИЯ</w:t>
      </w:r>
    </w:p>
    <w:sectPr w:rsidR="00851667" w:rsidRPr="00851667" w:rsidSect="003C1F7C">
      <w:pgSz w:w="11906" w:h="16838"/>
      <w:pgMar w:top="709" w:right="991" w:bottom="709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6849" w14:textId="77777777" w:rsidR="00AC53F9" w:rsidRDefault="00AC53F9" w:rsidP="003245FB">
      <w:pPr>
        <w:spacing w:after="0" w:line="240" w:lineRule="auto"/>
      </w:pPr>
      <w:r>
        <w:separator/>
      </w:r>
    </w:p>
  </w:endnote>
  <w:endnote w:type="continuationSeparator" w:id="0">
    <w:p w14:paraId="44DF3D5A" w14:textId="77777777" w:rsidR="00AC53F9" w:rsidRDefault="00AC53F9" w:rsidP="0032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BD11" w14:textId="77777777" w:rsidR="00AC53F9" w:rsidRDefault="00AC53F9" w:rsidP="003245FB">
      <w:pPr>
        <w:spacing w:after="0" w:line="240" w:lineRule="auto"/>
      </w:pPr>
      <w:r>
        <w:separator/>
      </w:r>
    </w:p>
  </w:footnote>
  <w:footnote w:type="continuationSeparator" w:id="0">
    <w:p w14:paraId="5B23C74E" w14:textId="77777777" w:rsidR="00AC53F9" w:rsidRDefault="00AC53F9" w:rsidP="00324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D10"/>
    <w:multiLevelType w:val="hybridMultilevel"/>
    <w:tmpl w:val="45CE74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27CE"/>
    <w:multiLevelType w:val="hybridMultilevel"/>
    <w:tmpl w:val="68BA3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D0778"/>
    <w:multiLevelType w:val="hybridMultilevel"/>
    <w:tmpl w:val="33603148"/>
    <w:lvl w:ilvl="0" w:tplc="1BF87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F4C65"/>
    <w:multiLevelType w:val="hybridMultilevel"/>
    <w:tmpl w:val="FB7EB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E7D0E"/>
    <w:multiLevelType w:val="hybridMultilevel"/>
    <w:tmpl w:val="6CA80068"/>
    <w:lvl w:ilvl="0" w:tplc="86DE9A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4762E04A">
      <w:numFmt w:val="bullet"/>
      <w:lvlText w:val="•"/>
      <w:lvlJc w:val="left"/>
      <w:pPr>
        <w:ind w:left="2118" w:hanging="69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B949D9"/>
    <w:multiLevelType w:val="hybridMultilevel"/>
    <w:tmpl w:val="85BE6796"/>
    <w:lvl w:ilvl="0" w:tplc="741CC8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96CBD"/>
    <w:multiLevelType w:val="hybridMultilevel"/>
    <w:tmpl w:val="12A24A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52C6E"/>
    <w:multiLevelType w:val="hybridMultilevel"/>
    <w:tmpl w:val="A0BE191E"/>
    <w:lvl w:ilvl="0" w:tplc="24961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31FBC"/>
    <w:multiLevelType w:val="hybridMultilevel"/>
    <w:tmpl w:val="86084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64D90"/>
    <w:multiLevelType w:val="hybridMultilevel"/>
    <w:tmpl w:val="4C945174"/>
    <w:lvl w:ilvl="0" w:tplc="5D96C1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9648408">
    <w:abstractNumId w:val="0"/>
  </w:num>
  <w:num w:numId="2" w16cid:durableId="1148134179">
    <w:abstractNumId w:val="5"/>
  </w:num>
  <w:num w:numId="3" w16cid:durableId="1233616872">
    <w:abstractNumId w:val="3"/>
  </w:num>
  <w:num w:numId="4" w16cid:durableId="1555694601">
    <w:abstractNumId w:val="1"/>
  </w:num>
  <w:num w:numId="5" w16cid:durableId="165675387">
    <w:abstractNumId w:val="8"/>
  </w:num>
  <w:num w:numId="6" w16cid:durableId="988094592">
    <w:abstractNumId w:val="6"/>
  </w:num>
  <w:num w:numId="7" w16cid:durableId="1911380903">
    <w:abstractNumId w:val="4"/>
  </w:num>
  <w:num w:numId="8" w16cid:durableId="211118805">
    <w:abstractNumId w:val="9"/>
  </w:num>
  <w:num w:numId="9" w16cid:durableId="695621354">
    <w:abstractNumId w:val="7"/>
  </w:num>
  <w:num w:numId="10" w16cid:durableId="126800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FB"/>
    <w:rsid w:val="0001379E"/>
    <w:rsid w:val="00022E49"/>
    <w:rsid w:val="00037014"/>
    <w:rsid w:val="000400C6"/>
    <w:rsid w:val="00060D7D"/>
    <w:rsid w:val="00061854"/>
    <w:rsid w:val="000702B8"/>
    <w:rsid w:val="00084437"/>
    <w:rsid w:val="00084797"/>
    <w:rsid w:val="00097755"/>
    <w:rsid w:val="000A0084"/>
    <w:rsid w:val="000A06CE"/>
    <w:rsid w:val="000A211E"/>
    <w:rsid w:val="000A293E"/>
    <w:rsid w:val="000A3F19"/>
    <w:rsid w:val="000A43B8"/>
    <w:rsid w:val="000A45FC"/>
    <w:rsid w:val="000A4BEF"/>
    <w:rsid w:val="000B2AB0"/>
    <w:rsid w:val="000B3E9D"/>
    <w:rsid w:val="000B3F45"/>
    <w:rsid w:val="000B44E3"/>
    <w:rsid w:val="000C1703"/>
    <w:rsid w:val="000C488D"/>
    <w:rsid w:val="000C7CBD"/>
    <w:rsid w:val="000D50C4"/>
    <w:rsid w:val="000D796C"/>
    <w:rsid w:val="000E0832"/>
    <w:rsid w:val="000E1A04"/>
    <w:rsid w:val="000E57D6"/>
    <w:rsid w:val="000F2ABE"/>
    <w:rsid w:val="000F2BD3"/>
    <w:rsid w:val="0010197F"/>
    <w:rsid w:val="001057F8"/>
    <w:rsid w:val="0011659A"/>
    <w:rsid w:val="0012210B"/>
    <w:rsid w:val="001266F6"/>
    <w:rsid w:val="00144C14"/>
    <w:rsid w:val="00144F17"/>
    <w:rsid w:val="00145BBB"/>
    <w:rsid w:val="0014634A"/>
    <w:rsid w:val="0014695F"/>
    <w:rsid w:val="001515E7"/>
    <w:rsid w:val="00152BD1"/>
    <w:rsid w:val="00177CA6"/>
    <w:rsid w:val="0018418A"/>
    <w:rsid w:val="00186E48"/>
    <w:rsid w:val="00187A8C"/>
    <w:rsid w:val="0019078A"/>
    <w:rsid w:val="001A118F"/>
    <w:rsid w:val="001A2573"/>
    <w:rsid w:val="001A71CA"/>
    <w:rsid w:val="001B0ECB"/>
    <w:rsid w:val="001B7288"/>
    <w:rsid w:val="001C7BB6"/>
    <w:rsid w:val="001D3533"/>
    <w:rsid w:val="001E1AF7"/>
    <w:rsid w:val="001E4D5C"/>
    <w:rsid w:val="001F25C1"/>
    <w:rsid w:val="001F69B0"/>
    <w:rsid w:val="00204839"/>
    <w:rsid w:val="00211A4E"/>
    <w:rsid w:val="00211E2A"/>
    <w:rsid w:val="00212CED"/>
    <w:rsid w:val="0021515A"/>
    <w:rsid w:val="00215351"/>
    <w:rsid w:val="0021684F"/>
    <w:rsid w:val="002209F7"/>
    <w:rsid w:val="00231ADB"/>
    <w:rsid w:val="00232B72"/>
    <w:rsid w:val="00233E31"/>
    <w:rsid w:val="0023754C"/>
    <w:rsid w:val="00240C42"/>
    <w:rsid w:val="00255577"/>
    <w:rsid w:val="00256C90"/>
    <w:rsid w:val="0027133A"/>
    <w:rsid w:val="00276257"/>
    <w:rsid w:val="002817A1"/>
    <w:rsid w:val="00286A5A"/>
    <w:rsid w:val="00287345"/>
    <w:rsid w:val="0029262F"/>
    <w:rsid w:val="00295718"/>
    <w:rsid w:val="002A29FC"/>
    <w:rsid w:val="002A3015"/>
    <w:rsid w:val="002A35EB"/>
    <w:rsid w:val="002A4A08"/>
    <w:rsid w:val="002C07D7"/>
    <w:rsid w:val="002D3A18"/>
    <w:rsid w:val="002D613C"/>
    <w:rsid w:val="002D6514"/>
    <w:rsid w:val="003000C9"/>
    <w:rsid w:val="00306A8F"/>
    <w:rsid w:val="003072E6"/>
    <w:rsid w:val="003245FB"/>
    <w:rsid w:val="00335400"/>
    <w:rsid w:val="00341F87"/>
    <w:rsid w:val="003427B7"/>
    <w:rsid w:val="0034333B"/>
    <w:rsid w:val="003466D3"/>
    <w:rsid w:val="00354C2D"/>
    <w:rsid w:val="003568AD"/>
    <w:rsid w:val="003625CB"/>
    <w:rsid w:val="00380B88"/>
    <w:rsid w:val="00386F09"/>
    <w:rsid w:val="003A2BEC"/>
    <w:rsid w:val="003B2F5C"/>
    <w:rsid w:val="003C1F7C"/>
    <w:rsid w:val="003C5E68"/>
    <w:rsid w:val="003E1988"/>
    <w:rsid w:val="003F2EBF"/>
    <w:rsid w:val="003F4709"/>
    <w:rsid w:val="003F5406"/>
    <w:rsid w:val="00405FFC"/>
    <w:rsid w:val="00410D29"/>
    <w:rsid w:val="00423494"/>
    <w:rsid w:val="00430D86"/>
    <w:rsid w:val="0043114B"/>
    <w:rsid w:val="00440CC3"/>
    <w:rsid w:val="00447AF9"/>
    <w:rsid w:val="00451E49"/>
    <w:rsid w:val="004547B2"/>
    <w:rsid w:val="0045582C"/>
    <w:rsid w:val="00456B56"/>
    <w:rsid w:val="0046204E"/>
    <w:rsid w:val="004653C2"/>
    <w:rsid w:val="00470F42"/>
    <w:rsid w:val="004778AC"/>
    <w:rsid w:val="004828F3"/>
    <w:rsid w:val="004855D7"/>
    <w:rsid w:val="00491C61"/>
    <w:rsid w:val="004925CE"/>
    <w:rsid w:val="00492978"/>
    <w:rsid w:val="004978E2"/>
    <w:rsid w:val="004A06C2"/>
    <w:rsid w:val="004A1794"/>
    <w:rsid w:val="004A46D4"/>
    <w:rsid w:val="004B274A"/>
    <w:rsid w:val="004B406D"/>
    <w:rsid w:val="004B7DCF"/>
    <w:rsid w:val="004C20D4"/>
    <w:rsid w:val="004C2E81"/>
    <w:rsid w:val="004C368E"/>
    <w:rsid w:val="004D14A3"/>
    <w:rsid w:val="004D29B7"/>
    <w:rsid w:val="004D7D20"/>
    <w:rsid w:val="004E09F1"/>
    <w:rsid w:val="004E09FD"/>
    <w:rsid w:val="004E205F"/>
    <w:rsid w:val="004E3830"/>
    <w:rsid w:val="004F0022"/>
    <w:rsid w:val="004F27C8"/>
    <w:rsid w:val="004F2884"/>
    <w:rsid w:val="004F2B9F"/>
    <w:rsid w:val="004F4231"/>
    <w:rsid w:val="004F6840"/>
    <w:rsid w:val="00504195"/>
    <w:rsid w:val="00521B25"/>
    <w:rsid w:val="00530456"/>
    <w:rsid w:val="00540F13"/>
    <w:rsid w:val="00541A68"/>
    <w:rsid w:val="00542A24"/>
    <w:rsid w:val="005466D5"/>
    <w:rsid w:val="005530DB"/>
    <w:rsid w:val="00557347"/>
    <w:rsid w:val="00561BAB"/>
    <w:rsid w:val="00565C26"/>
    <w:rsid w:val="00566A4B"/>
    <w:rsid w:val="005737B6"/>
    <w:rsid w:val="005743FC"/>
    <w:rsid w:val="00582FDA"/>
    <w:rsid w:val="0058336C"/>
    <w:rsid w:val="00591640"/>
    <w:rsid w:val="005A29CF"/>
    <w:rsid w:val="005A3B89"/>
    <w:rsid w:val="005B25ED"/>
    <w:rsid w:val="005C12F1"/>
    <w:rsid w:val="005C1CE4"/>
    <w:rsid w:val="005C4E40"/>
    <w:rsid w:val="005D3D93"/>
    <w:rsid w:val="005D5FD8"/>
    <w:rsid w:val="005E234F"/>
    <w:rsid w:val="005E466A"/>
    <w:rsid w:val="005F070D"/>
    <w:rsid w:val="00603BB6"/>
    <w:rsid w:val="0060508F"/>
    <w:rsid w:val="0060716E"/>
    <w:rsid w:val="006072D3"/>
    <w:rsid w:val="00614438"/>
    <w:rsid w:val="00620E83"/>
    <w:rsid w:val="006214DA"/>
    <w:rsid w:val="006345C5"/>
    <w:rsid w:val="00640FF8"/>
    <w:rsid w:val="00641451"/>
    <w:rsid w:val="006426F0"/>
    <w:rsid w:val="00654988"/>
    <w:rsid w:val="00672DAA"/>
    <w:rsid w:val="00674E08"/>
    <w:rsid w:val="006851AA"/>
    <w:rsid w:val="00686BE0"/>
    <w:rsid w:val="00694A5C"/>
    <w:rsid w:val="006A5185"/>
    <w:rsid w:val="006B47E8"/>
    <w:rsid w:val="006B5731"/>
    <w:rsid w:val="006C21DA"/>
    <w:rsid w:val="006C2EA8"/>
    <w:rsid w:val="006C6A77"/>
    <w:rsid w:val="006C6D57"/>
    <w:rsid w:val="006C7785"/>
    <w:rsid w:val="006D72A9"/>
    <w:rsid w:val="006E0D5B"/>
    <w:rsid w:val="006F6BEF"/>
    <w:rsid w:val="00701C2E"/>
    <w:rsid w:val="007029CF"/>
    <w:rsid w:val="007063E2"/>
    <w:rsid w:val="00711EFD"/>
    <w:rsid w:val="00713629"/>
    <w:rsid w:val="007141BC"/>
    <w:rsid w:val="00722E53"/>
    <w:rsid w:val="00724F06"/>
    <w:rsid w:val="007261D1"/>
    <w:rsid w:val="007265FA"/>
    <w:rsid w:val="0073314C"/>
    <w:rsid w:val="007340FF"/>
    <w:rsid w:val="00737110"/>
    <w:rsid w:val="00745789"/>
    <w:rsid w:val="00747F54"/>
    <w:rsid w:val="00750343"/>
    <w:rsid w:val="0075303F"/>
    <w:rsid w:val="0075389D"/>
    <w:rsid w:val="007827BD"/>
    <w:rsid w:val="00795035"/>
    <w:rsid w:val="0079769E"/>
    <w:rsid w:val="007A0CC7"/>
    <w:rsid w:val="007B247E"/>
    <w:rsid w:val="007B5C3A"/>
    <w:rsid w:val="007C06C1"/>
    <w:rsid w:val="007C0D31"/>
    <w:rsid w:val="007C12BD"/>
    <w:rsid w:val="007C5F48"/>
    <w:rsid w:val="007E4AD0"/>
    <w:rsid w:val="007E6421"/>
    <w:rsid w:val="007F30A6"/>
    <w:rsid w:val="007F30DD"/>
    <w:rsid w:val="007F37CE"/>
    <w:rsid w:val="00803D5F"/>
    <w:rsid w:val="008109D6"/>
    <w:rsid w:val="00811A6F"/>
    <w:rsid w:val="008140DE"/>
    <w:rsid w:val="00816D3C"/>
    <w:rsid w:val="00830B3E"/>
    <w:rsid w:val="00831969"/>
    <w:rsid w:val="00840E5A"/>
    <w:rsid w:val="00851667"/>
    <w:rsid w:val="00854CE9"/>
    <w:rsid w:val="00857160"/>
    <w:rsid w:val="00862EBD"/>
    <w:rsid w:val="0086437A"/>
    <w:rsid w:val="00866052"/>
    <w:rsid w:val="008729EB"/>
    <w:rsid w:val="0087460E"/>
    <w:rsid w:val="0088662E"/>
    <w:rsid w:val="008B104F"/>
    <w:rsid w:val="008B47BA"/>
    <w:rsid w:val="008B6252"/>
    <w:rsid w:val="008C1576"/>
    <w:rsid w:val="008D0B87"/>
    <w:rsid w:val="008D3801"/>
    <w:rsid w:val="008E1426"/>
    <w:rsid w:val="008F0A21"/>
    <w:rsid w:val="008F0A78"/>
    <w:rsid w:val="008F33F2"/>
    <w:rsid w:val="00904EE8"/>
    <w:rsid w:val="0090693C"/>
    <w:rsid w:val="009131B0"/>
    <w:rsid w:val="009132FD"/>
    <w:rsid w:val="00913C44"/>
    <w:rsid w:val="009238A7"/>
    <w:rsid w:val="00927006"/>
    <w:rsid w:val="00937BD7"/>
    <w:rsid w:val="00947276"/>
    <w:rsid w:val="00952EA2"/>
    <w:rsid w:val="00971527"/>
    <w:rsid w:val="00996AEA"/>
    <w:rsid w:val="009A31CE"/>
    <w:rsid w:val="009B2C36"/>
    <w:rsid w:val="009B4693"/>
    <w:rsid w:val="009B5B5B"/>
    <w:rsid w:val="009C0D5B"/>
    <w:rsid w:val="009C37BB"/>
    <w:rsid w:val="009D48A9"/>
    <w:rsid w:val="009E1C52"/>
    <w:rsid w:val="009E3EED"/>
    <w:rsid w:val="009E60C1"/>
    <w:rsid w:val="009F2CAE"/>
    <w:rsid w:val="00A11B70"/>
    <w:rsid w:val="00A21FFA"/>
    <w:rsid w:val="00A5005B"/>
    <w:rsid w:val="00A52D4C"/>
    <w:rsid w:val="00A5368D"/>
    <w:rsid w:val="00A714B6"/>
    <w:rsid w:val="00A72386"/>
    <w:rsid w:val="00A732D2"/>
    <w:rsid w:val="00A8381F"/>
    <w:rsid w:val="00A917A4"/>
    <w:rsid w:val="00A9498E"/>
    <w:rsid w:val="00AA1199"/>
    <w:rsid w:val="00AA7D0A"/>
    <w:rsid w:val="00AB7509"/>
    <w:rsid w:val="00AC53F9"/>
    <w:rsid w:val="00AC5767"/>
    <w:rsid w:val="00AD0638"/>
    <w:rsid w:val="00AD203C"/>
    <w:rsid w:val="00AE15B7"/>
    <w:rsid w:val="00AE73D0"/>
    <w:rsid w:val="00AE7977"/>
    <w:rsid w:val="00B000AB"/>
    <w:rsid w:val="00B03410"/>
    <w:rsid w:val="00B07906"/>
    <w:rsid w:val="00B07F2B"/>
    <w:rsid w:val="00B14BFB"/>
    <w:rsid w:val="00B21F20"/>
    <w:rsid w:val="00B32FBB"/>
    <w:rsid w:val="00B34185"/>
    <w:rsid w:val="00B3715A"/>
    <w:rsid w:val="00B40531"/>
    <w:rsid w:val="00B45EF2"/>
    <w:rsid w:val="00B462F4"/>
    <w:rsid w:val="00B51CE3"/>
    <w:rsid w:val="00B55AB6"/>
    <w:rsid w:val="00B61F6B"/>
    <w:rsid w:val="00B71295"/>
    <w:rsid w:val="00B72CC6"/>
    <w:rsid w:val="00B775A9"/>
    <w:rsid w:val="00B82D41"/>
    <w:rsid w:val="00B83FA6"/>
    <w:rsid w:val="00BA0A76"/>
    <w:rsid w:val="00BA196C"/>
    <w:rsid w:val="00BA5CC7"/>
    <w:rsid w:val="00BB482A"/>
    <w:rsid w:val="00BB72C0"/>
    <w:rsid w:val="00BD0D72"/>
    <w:rsid w:val="00BD0FAE"/>
    <w:rsid w:val="00BD0FE0"/>
    <w:rsid w:val="00BD5EC5"/>
    <w:rsid w:val="00BD7866"/>
    <w:rsid w:val="00BE1745"/>
    <w:rsid w:val="00BE4FF4"/>
    <w:rsid w:val="00BF3FA4"/>
    <w:rsid w:val="00BF45E6"/>
    <w:rsid w:val="00C104F9"/>
    <w:rsid w:val="00C16C1C"/>
    <w:rsid w:val="00C16F7C"/>
    <w:rsid w:val="00C17E98"/>
    <w:rsid w:val="00C24AD0"/>
    <w:rsid w:val="00C32CF6"/>
    <w:rsid w:val="00C33B42"/>
    <w:rsid w:val="00C35346"/>
    <w:rsid w:val="00C42263"/>
    <w:rsid w:val="00C46DF0"/>
    <w:rsid w:val="00C51008"/>
    <w:rsid w:val="00C53410"/>
    <w:rsid w:val="00C55E4A"/>
    <w:rsid w:val="00C56B6E"/>
    <w:rsid w:val="00C61CA7"/>
    <w:rsid w:val="00C70B64"/>
    <w:rsid w:val="00C73AC0"/>
    <w:rsid w:val="00C73B45"/>
    <w:rsid w:val="00C85044"/>
    <w:rsid w:val="00C8771C"/>
    <w:rsid w:val="00C92C06"/>
    <w:rsid w:val="00CA0FA9"/>
    <w:rsid w:val="00CA3CB6"/>
    <w:rsid w:val="00CA7272"/>
    <w:rsid w:val="00CB04BB"/>
    <w:rsid w:val="00CB0D21"/>
    <w:rsid w:val="00CC2FCF"/>
    <w:rsid w:val="00CC62D6"/>
    <w:rsid w:val="00CD139C"/>
    <w:rsid w:val="00CF410C"/>
    <w:rsid w:val="00CF4615"/>
    <w:rsid w:val="00CF6CA6"/>
    <w:rsid w:val="00D02E4E"/>
    <w:rsid w:val="00D045F3"/>
    <w:rsid w:val="00D10F09"/>
    <w:rsid w:val="00D13270"/>
    <w:rsid w:val="00D16813"/>
    <w:rsid w:val="00D23267"/>
    <w:rsid w:val="00D252E9"/>
    <w:rsid w:val="00D444C1"/>
    <w:rsid w:val="00D60750"/>
    <w:rsid w:val="00D61699"/>
    <w:rsid w:val="00D6397E"/>
    <w:rsid w:val="00D721D1"/>
    <w:rsid w:val="00D76495"/>
    <w:rsid w:val="00D82A1C"/>
    <w:rsid w:val="00D86C39"/>
    <w:rsid w:val="00DA02DB"/>
    <w:rsid w:val="00DA04D0"/>
    <w:rsid w:val="00DA0A2C"/>
    <w:rsid w:val="00DB32E7"/>
    <w:rsid w:val="00DB5FFA"/>
    <w:rsid w:val="00DB6D9E"/>
    <w:rsid w:val="00DC338C"/>
    <w:rsid w:val="00DC42D9"/>
    <w:rsid w:val="00DD2A36"/>
    <w:rsid w:val="00DD51B1"/>
    <w:rsid w:val="00DF2367"/>
    <w:rsid w:val="00DF7582"/>
    <w:rsid w:val="00E03BCC"/>
    <w:rsid w:val="00E03BD3"/>
    <w:rsid w:val="00E06B98"/>
    <w:rsid w:val="00E32D6E"/>
    <w:rsid w:val="00E36B1E"/>
    <w:rsid w:val="00E42D95"/>
    <w:rsid w:val="00E47EE2"/>
    <w:rsid w:val="00E52004"/>
    <w:rsid w:val="00E530B7"/>
    <w:rsid w:val="00E535EF"/>
    <w:rsid w:val="00E56934"/>
    <w:rsid w:val="00E56F28"/>
    <w:rsid w:val="00E61DAA"/>
    <w:rsid w:val="00E646F2"/>
    <w:rsid w:val="00E71351"/>
    <w:rsid w:val="00E75000"/>
    <w:rsid w:val="00E764DC"/>
    <w:rsid w:val="00E7771C"/>
    <w:rsid w:val="00E80D35"/>
    <w:rsid w:val="00E86DF2"/>
    <w:rsid w:val="00E902EC"/>
    <w:rsid w:val="00E92DDF"/>
    <w:rsid w:val="00E93493"/>
    <w:rsid w:val="00E974D3"/>
    <w:rsid w:val="00EA0792"/>
    <w:rsid w:val="00EB21CF"/>
    <w:rsid w:val="00EC1D1B"/>
    <w:rsid w:val="00EC305B"/>
    <w:rsid w:val="00ED178F"/>
    <w:rsid w:val="00ED27AC"/>
    <w:rsid w:val="00EE3081"/>
    <w:rsid w:val="00EF1204"/>
    <w:rsid w:val="00EF1EFA"/>
    <w:rsid w:val="00EF5801"/>
    <w:rsid w:val="00EF79E9"/>
    <w:rsid w:val="00F02656"/>
    <w:rsid w:val="00F0281F"/>
    <w:rsid w:val="00F33A9D"/>
    <w:rsid w:val="00F3726F"/>
    <w:rsid w:val="00F4729F"/>
    <w:rsid w:val="00F507E5"/>
    <w:rsid w:val="00F50CCF"/>
    <w:rsid w:val="00F5400B"/>
    <w:rsid w:val="00F5404D"/>
    <w:rsid w:val="00F54F9D"/>
    <w:rsid w:val="00F5580B"/>
    <w:rsid w:val="00F56EA3"/>
    <w:rsid w:val="00F63174"/>
    <w:rsid w:val="00F66802"/>
    <w:rsid w:val="00F67A2C"/>
    <w:rsid w:val="00F74B6F"/>
    <w:rsid w:val="00F77BE8"/>
    <w:rsid w:val="00F80B96"/>
    <w:rsid w:val="00F81886"/>
    <w:rsid w:val="00F81933"/>
    <w:rsid w:val="00F83006"/>
    <w:rsid w:val="00F856B1"/>
    <w:rsid w:val="00F972EE"/>
    <w:rsid w:val="00FA3E86"/>
    <w:rsid w:val="00FA67F0"/>
    <w:rsid w:val="00FA6990"/>
    <w:rsid w:val="00FB003D"/>
    <w:rsid w:val="00FB4BB8"/>
    <w:rsid w:val="00FB692A"/>
    <w:rsid w:val="00FB6A7E"/>
    <w:rsid w:val="00FD19B5"/>
    <w:rsid w:val="00FD2572"/>
    <w:rsid w:val="00FD632A"/>
    <w:rsid w:val="00FD71AC"/>
    <w:rsid w:val="00FE1C59"/>
    <w:rsid w:val="00FE3CD4"/>
    <w:rsid w:val="00FE4457"/>
    <w:rsid w:val="00FE7821"/>
    <w:rsid w:val="00FF14E8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E9618"/>
  <w15:docId w15:val="{C5337DF1-8E33-4760-9BE9-D8323DD9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pacing w:val="-10"/>
        <w:kern w:val="28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FB"/>
    <w:pPr>
      <w:spacing w:after="200" w:line="276" w:lineRule="auto"/>
    </w:pPr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5F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bCs/>
      <w:spacing w:val="-10"/>
      <w:kern w:val="2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245FB"/>
  </w:style>
  <w:style w:type="paragraph" w:styleId="Footer">
    <w:name w:val="footer"/>
    <w:basedOn w:val="Normal"/>
    <w:link w:val="FooterChar"/>
    <w:uiPriority w:val="99"/>
    <w:unhideWhenUsed/>
    <w:rsid w:val="003245F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bCs/>
      <w:spacing w:val="-10"/>
      <w:kern w:val="28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245FB"/>
  </w:style>
  <w:style w:type="paragraph" w:styleId="ListParagraph">
    <w:name w:val="List Paragraph"/>
    <w:basedOn w:val="Normal"/>
    <w:uiPriority w:val="34"/>
    <w:qFormat/>
    <w:rsid w:val="0029262F"/>
    <w:pPr>
      <w:ind w:left="720"/>
      <w:contextualSpacing/>
    </w:pPr>
  </w:style>
  <w:style w:type="paragraph" w:customStyle="1" w:styleId="Default">
    <w:name w:val="Default"/>
    <w:rsid w:val="008B6252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  <w:style w:type="paragraph" w:styleId="Revision">
    <w:name w:val="Revision"/>
    <w:hidden/>
    <w:uiPriority w:val="99"/>
    <w:semiHidden/>
    <w:rsid w:val="000D796C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D6"/>
    <w:rPr>
      <w:rFonts w:ascii="Segoe UI" w:hAnsi="Segoe UI" w:cs="Segoe UI"/>
      <w:bCs w:val="0"/>
      <w:spacing w:val="0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1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04F"/>
    <w:rPr>
      <w:rFonts w:asciiTheme="minorHAnsi" w:hAnsiTheme="minorHAnsi" w:cstheme="minorBidi"/>
      <w:bCs w:val="0"/>
      <w:spacing w:val="0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04F"/>
    <w:rPr>
      <w:rFonts w:asciiTheme="minorHAnsi" w:hAnsiTheme="minorHAnsi" w:cstheme="minorBidi"/>
      <w:b/>
      <w:bCs/>
      <w:spacing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 Драгиева</dc:creator>
  <cp:lastModifiedBy>i.spasova</cp:lastModifiedBy>
  <cp:revision>4</cp:revision>
  <cp:lastPrinted>2023-11-20T10:15:00Z</cp:lastPrinted>
  <dcterms:created xsi:type="dcterms:W3CDTF">2023-11-20T10:15:00Z</dcterms:created>
  <dcterms:modified xsi:type="dcterms:W3CDTF">2023-11-20T11:05:00Z</dcterms:modified>
</cp:coreProperties>
</file>