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77EC3" w14:textId="77777777" w:rsidR="009532E7" w:rsidRPr="00B3335F" w:rsidRDefault="00074256" w:rsidP="00074256">
      <w:pPr>
        <w:pBdr>
          <w:top w:val="single" w:sz="12" w:space="1" w:color="8CD262"/>
          <w:bottom w:val="single" w:sz="12" w:space="1" w:color="8CD262"/>
        </w:pBdr>
        <w:spacing w:after="120"/>
        <w:jc w:val="center"/>
        <w:rPr>
          <w:rFonts w:ascii="Bookman Old Style" w:hAnsi="Bookman Old Style"/>
          <w:b/>
          <w:color w:val="19804B"/>
        </w:rPr>
      </w:pPr>
      <w:r w:rsidRPr="00B3335F">
        <w:rPr>
          <w:rFonts w:ascii="Bookman Old Style" w:hAnsi="Bookman Old Style"/>
          <w:b/>
          <w:color w:val="19804B"/>
        </w:rPr>
        <w:t xml:space="preserve">Проведе се традиционният годишен форум на БАСЗЗ на тема </w:t>
      </w:r>
      <w:r w:rsidRPr="00B3335F">
        <w:rPr>
          <w:rFonts w:ascii="Bookman Old Style" w:hAnsi="Bookman Old Style"/>
          <w:b/>
          <w:color w:val="19804B"/>
        </w:rPr>
        <w:br/>
        <w:t>„Състояние, проблеми и перспективи пред селското стопанство през призмата на поземлените отношения</w:t>
      </w:r>
      <w:r w:rsidR="00406953" w:rsidRPr="00B3335F">
        <w:rPr>
          <w:rFonts w:ascii="Bookman Old Style" w:hAnsi="Bookman Old Style"/>
          <w:b/>
          <w:color w:val="19804B"/>
        </w:rPr>
        <w:t>“</w:t>
      </w:r>
    </w:p>
    <w:p w14:paraId="6496D262" w14:textId="0BFA6776" w:rsidR="00D34A4E" w:rsidRPr="00B3335F" w:rsidRDefault="00D34A4E" w:rsidP="00D34A4E">
      <w:pPr>
        <w:spacing w:after="120"/>
        <w:ind w:firstLine="425"/>
        <w:jc w:val="both"/>
        <w:rPr>
          <w:rFonts w:ascii="Bookman Old Style" w:hAnsi="Bookman Old Style"/>
          <w:sz w:val="22"/>
        </w:rPr>
      </w:pPr>
      <w:r w:rsidRPr="00B3335F">
        <w:rPr>
          <w:rFonts w:ascii="Bookman Old Style" w:hAnsi="Bookman Old Style"/>
          <w:sz w:val="22"/>
        </w:rPr>
        <w:t>Членовете на Българската асоциацията на собствениците на земеделски земи (БАСЗЗ), представители на ръководството на Министерството на земеделието</w:t>
      </w:r>
      <w:r w:rsidR="00127E49" w:rsidRPr="00B3335F">
        <w:rPr>
          <w:rFonts w:ascii="Bookman Old Style" w:hAnsi="Bookman Old Style"/>
          <w:sz w:val="22"/>
        </w:rPr>
        <w:t xml:space="preserve"> </w:t>
      </w:r>
      <w:r w:rsidR="00CF6345" w:rsidRPr="00B3335F">
        <w:rPr>
          <w:rFonts w:ascii="Bookman Old Style" w:hAnsi="Bookman Old Style"/>
          <w:sz w:val="22"/>
        </w:rPr>
        <w:t xml:space="preserve">и храните </w:t>
      </w:r>
      <w:r w:rsidR="00127E49" w:rsidRPr="00B3335F">
        <w:rPr>
          <w:rFonts w:ascii="Bookman Old Style" w:hAnsi="Bookman Old Style"/>
          <w:sz w:val="22"/>
        </w:rPr>
        <w:t>(МЗ</w:t>
      </w:r>
      <w:r w:rsidR="00CF6345" w:rsidRPr="00B3335F">
        <w:rPr>
          <w:rFonts w:ascii="Bookman Old Style" w:hAnsi="Bookman Old Style"/>
          <w:sz w:val="22"/>
        </w:rPr>
        <w:t>Х</w:t>
      </w:r>
      <w:r w:rsidR="00127E49" w:rsidRPr="00B3335F">
        <w:rPr>
          <w:rFonts w:ascii="Bookman Old Style" w:hAnsi="Bookman Old Style"/>
          <w:sz w:val="22"/>
        </w:rPr>
        <w:t>)</w:t>
      </w:r>
      <w:r w:rsidRPr="00B3335F">
        <w:rPr>
          <w:rFonts w:ascii="Bookman Old Style" w:hAnsi="Bookman Old Style"/>
          <w:sz w:val="22"/>
        </w:rPr>
        <w:t>, членове на академичната и научна общност, партньори на БАСЗЗ и медии се събраха на 8 юни 2023 г., в Казанлъшки минерални бани на традиционния годишен форум на БАСЗЗ на тема „</w:t>
      </w:r>
      <w:r w:rsidRPr="00B3335F">
        <w:rPr>
          <w:rFonts w:ascii="Bookman Old Style" w:hAnsi="Bookman Old Style"/>
          <w:b/>
          <w:sz w:val="22"/>
        </w:rPr>
        <w:t>Състояние, проблеми и перспективи пред селското стопанство през призмата на поземлените отношения</w:t>
      </w:r>
      <w:r w:rsidRPr="00B3335F">
        <w:rPr>
          <w:rFonts w:ascii="Bookman Old Style" w:hAnsi="Bookman Old Style"/>
          <w:sz w:val="22"/>
        </w:rPr>
        <w:t>“.</w:t>
      </w:r>
    </w:p>
    <w:p w14:paraId="0911E7C0" w14:textId="77777777" w:rsidR="00D34A4E" w:rsidRPr="00B3335F" w:rsidRDefault="00D34A4E" w:rsidP="00D34A4E">
      <w:pPr>
        <w:spacing w:after="120"/>
        <w:ind w:firstLine="425"/>
        <w:jc w:val="both"/>
        <w:rPr>
          <w:rFonts w:ascii="Bookman Old Style" w:hAnsi="Bookman Old Style"/>
          <w:sz w:val="22"/>
        </w:rPr>
      </w:pPr>
      <w:r w:rsidRPr="00B3335F">
        <w:rPr>
          <w:rFonts w:ascii="Bookman Old Style" w:hAnsi="Bookman Old Style"/>
          <w:sz w:val="22"/>
        </w:rPr>
        <w:t xml:space="preserve">Участниците дискутираха </w:t>
      </w:r>
      <w:r w:rsidRPr="00B3335F">
        <w:rPr>
          <w:rFonts w:ascii="Bookman Old Style" w:hAnsi="Bookman Old Style"/>
          <w:b/>
          <w:sz w:val="22"/>
        </w:rPr>
        <w:t>тенденциите при земеделските земи</w:t>
      </w:r>
      <w:r w:rsidRPr="00B3335F">
        <w:rPr>
          <w:rFonts w:ascii="Bookman Old Style" w:hAnsi="Bookman Old Style"/>
          <w:sz w:val="22"/>
        </w:rPr>
        <w:t xml:space="preserve"> в България, проблемите, свързани с </w:t>
      </w:r>
      <w:r w:rsidRPr="00B3335F">
        <w:rPr>
          <w:rFonts w:ascii="Bookman Old Style" w:hAnsi="Bookman Old Style"/>
          <w:b/>
          <w:sz w:val="22"/>
        </w:rPr>
        <w:t>напояването и земеползването</w:t>
      </w:r>
      <w:r w:rsidRPr="00B3335F">
        <w:rPr>
          <w:rFonts w:ascii="Bookman Old Style" w:hAnsi="Bookman Old Style"/>
          <w:sz w:val="22"/>
        </w:rPr>
        <w:t xml:space="preserve">, както и породените от прилагането на Закона за кадастъра и имотния регистър и подзаконовата нормативна уредба, касаещи </w:t>
      </w:r>
      <w:r w:rsidRPr="00B3335F">
        <w:rPr>
          <w:rFonts w:ascii="Bookman Old Style" w:hAnsi="Bookman Old Style"/>
          <w:b/>
          <w:sz w:val="22"/>
        </w:rPr>
        <w:t>принудителното отчуждаване и учредяване на сервитути</w:t>
      </w:r>
      <w:r w:rsidRPr="00B3335F">
        <w:rPr>
          <w:rFonts w:ascii="Bookman Old Style" w:hAnsi="Bookman Old Style"/>
          <w:sz w:val="22"/>
        </w:rPr>
        <w:t xml:space="preserve"> на земеделски имоти и нарушаващи правата на собствениците на земеделски земи.</w:t>
      </w:r>
    </w:p>
    <w:p w14:paraId="0EF464AE" w14:textId="77777777" w:rsidR="00D34A4E" w:rsidRPr="00B3335F" w:rsidRDefault="00D34A4E" w:rsidP="00D34A4E">
      <w:pPr>
        <w:spacing w:after="120"/>
        <w:ind w:firstLine="425"/>
        <w:jc w:val="both"/>
        <w:rPr>
          <w:rFonts w:ascii="Bookman Old Style" w:hAnsi="Bookman Old Style"/>
          <w:sz w:val="22"/>
        </w:rPr>
      </w:pPr>
      <w:r w:rsidRPr="00B3335F">
        <w:rPr>
          <w:rFonts w:ascii="Bookman Old Style" w:hAnsi="Bookman Old Style"/>
          <w:sz w:val="22"/>
        </w:rPr>
        <w:t xml:space="preserve">Сред обсъжданите теми бе и </w:t>
      </w:r>
      <w:r w:rsidRPr="00B3335F">
        <w:rPr>
          <w:rFonts w:ascii="Bookman Old Style" w:hAnsi="Bookman Old Style"/>
          <w:b/>
          <w:sz w:val="22"/>
        </w:rPr>
        <w:t>Стратегическият план за развитие на земеделието и селските райони (СП за РЗСР) на Р България за периода 2023-2027 г.,</w:t>
      </w:r>
      <w:r w:rsidRPr="00B3335F">
        <w:rPr>
          <w:rFonts w:ascii="Bookman Old Style" w:hAnsi="Bookman Old Style"/>
          <w:sz w:val="22"/>
        </w:rPr>
        <w:t xml:space="preserve"> вкл. новости, правила, изисквания, срокове и санкции при директните плащания, агроекология</w:t>
      </w:r>
      <w:r w:rsidR="00127E49" w:rsidRPr="00B3335F">
        <w:rPr>
          <w:rFonts w:ascii="Bookman Old Style" w:hAnsi="Bookman Old Style"/>
          <w:sz w:val="22"/>
        </w:rPr>
        <w:t>, възможности за инвестиции в напоителни системи и др.</w:t>
      </w:r>
    </w:p>
    <w:p w14:paraId="50C715F7" w14:textId="77777777" w:rsidR="00D34A4E" w:rsidRPr="00B3335F" w:rsidRDefault="00127E49" w:rsidP="00D34A4E">
      <w:pPr>
        <w:spacing w:after="120"/>
        <w:ind w:firstLine="425"/>
        <w:jc w:val="both"/>
        <w:rPr>
          <w:rFonts w:ascii="Bookman Old Style" w:hAnsi="Bookman Old Style"/>
          <w:sz w:val="22"/>
        </w:rPr>
      </w:pPr>
      <w:r w:rsidRPr="00B3335F">
        <w:rPr>
          <w:rFonts w:ascii="Bookman Old Style" w:hAnsi="Bookman Old Style"/>
          <w:sz w:val="22"/>
        </w:rPr>
        <w:t>Представители на МЗм представиха информация за степента на готовност на н</w:t>
      </w:r>
      <w:r w:rsidR="00D34A4E" w:rsidRPr="00B3335F">
        <w:rPr>
          <w:rFonts w:ascii="Bookman Old Style" w:hAnsi="Bookman Old Style"/>
          <w:sz w:val="22"/>
        </w:rPr>
        <w:t>ормативна</w:t>
      </w:r>
      <w:r w:rsidRPr="00B3335F">
        <w:rPr>
          <w:rFonts w:ascii="Bookman Old Style" w:hAnsi="Bookman Old Style"/>
          <w:sz w:val="22"/>
        </w:rPr>
        <w:t xml:space="preserve">та база за стартиране на приеми през настоящата година, както и възможностите </w:t>
      </w:r>
      <w:r w:rsidR="00D34A4E" w:rsidRPr="00B3335F">
        <w:rPr>
          <w:rFonts w:ascii="Bookman Old Style" w:hAnsi="Bookman Old Style"/>
          <w:sz w:val="22"/>
        </w:rPr>
        <w:t xml:space="preserve">за българското селско стопанство, предоставяни от </w:t>
      </w:r>
      <w:r w:rsidR="00D34A4E" w:rsidRPr="00B3335F">
        <w:rPr>
          <w:rFonts w:ascii="Bookman Old Style" w:hAnsi="Bookman Old Style"/>
          <w:b/>
          <w:sz w:val="22"/>
        </w:rPr>
        <w:t>Националния план за възстановяване и устойчивост</w:t>
      </w:r>
      <w:r w:rsidRPr="00B3335F">
        <w:rPr>
          <w:rFonts w:ascii="Bookman Old Style" w:hAnsi="Bookman Old Style"/>
          <w:sz w:val="22"/>
        </w:rPr>
        <w:t>.</w:t>
      </w:r>
      <w:r w:rsidRPr="00B3335F">
        <w:rPr>
          <w:rStyle w:val="FootnoteReference"/>
          <w:rFonts w:ascii="Bookman Old Style" w:hAnsi="Bookman Old Style"/>
          <w:sz w:val="22"/>
        </w:rPr>
        <w:footnoteReference w:id="1"/>
      </w:r>
    </w:p>
    <w:p w14:paraId="00A28BC3" w14:textId="77777777" w:rsidR="00620A2C" w:rsidRPr="00B3335F" w:rsidRDefault="00620A2C" w:rsidP="00D34A4E">
      <w:pPr>
        <w:spacing w:after="120"/>
        <w:ind w:firstLine="425"/>
        <w:jc w:val="both"/>
        <w:rPr>
          <w:rFonts w:ascii="Bookman Old Style" w:hAnsi="Bookman Old Style"/>
          <w:sz w:val="22"/>
        </w:rPr>
      </w:pPr>
      <w:r w:rsidRPr="00B3335F">
        <w:rPr>
          <w:rFonts w:ascii="Bookman Old Style" w:hAnsi="Bookman Old Style"/>
          <w:sz w:val="22"/>
        </w:rPr>
        <w:t>След дискусионната част тържествено бяха връчени</w:t>
      </w:r>
      <w:r w:rsidR="00074256" w:rsidRPr="00B3335F">
        <w:rPr>
          <w:rFonts w:ascii="Bookman Old Style" w:hAnsi="Bookman Old Style"/>
          <w:sz w:val="22"/>
        </w:rPr>
        <w:t xml:space="preserve"> </w:t>
      </w:r>
      <w:r w:rsidR="00074256" w:rsidRPr="00B3335F">
        <w:rPr>
          <w:rFonts w:ascii="Bookman Old Style" w:hAnsi="Bookman Old Style"/>
          <w:b/>
          <w:sz w:val="22"/>
        </w:rPr>
        <w:t>традиционните годишни награди на БАСЗЗ</w:t>
      </w:r>
      <w:r w:rsidR="00074256" w:rsidRPr="00B3335F">
        <w:rPr>
          <w:rFonts w:ascii="Bookman Old Style" w:hAnsi="Bookman Old Style"/>
          <w:sz w:val="22"/>
        </w:rPr>
        <w:t>.</w:t>
      </w:r>
    </w:p>
    <w:p w14:paraId="76D861F2" w14:textId="77777777" w:rsidR="00074256" w:rsidRPr="00B3335F" w:rsidRDefault="00074256" w:rsidP="00D34A4E">
      <w:pPr>
        <w:spacing w:after="120"/>
        <w:ind w:firstLine="425"/>
        <w:jc w:val="both"/>
        <w:rPr>
          <w:rFonts w:ascii="Bookman Old Style" w:hAnsi="Bookman Old Style"/>
          <w:sz w:val="22"/>
        </w:rPr>
      </w:pPr>
      <w:r w:rsidRPr="00B3335F">
        <w:rPr>
          <w:rFonts w:ascii="Bookman Old Style" w:hAnsi="Bookman Old Style"/>
          <w:sz w:val="22"/>
        </w:rPr>
        <w:t>Вижте подробности по-долу!</w:t>
      </w:r>
    </w:p>
    <w:p w14:paraId="66328443" w14:textId="77777777" w:rsidR="0076317E" w:rsidRPr="00B3335F" w:rsidRDefault="0076317E" w:rsidP="0076317E">
      <w:pPr>
        <w:spacing w:after="120"/>
        <w:jc w:val="center"/>
        <w:rPr>
          <w:rFonts w:ascii="Bookman Old Style" w:hAnsi="Bookman Old Style"/>
          <w:sz w:val="22"/>
        </w:rPr>
      </w:pPr>
      <w:r w:rsidRPr="00B3335F">
        <w:rPr>
          <w:rFonts w:ascii="Bookman Old Style" w:hAnsi="Bookman Old Style"/>
          <w:sz w:val="22"/>
        </w:rPr>
        <w:t>***</w:t>
      </w:r>
      <w:bookmarkStart w:id="0" w:name="_GoBack"/>
      <w:bookmarkEnd w:id="0"/>
    </w:p>
    <w:sdt>
      <w:sdtPr>
        <w:rPr>
          <w:rFonts w:ascii="Bookman Old Style" w:eastAsiaTheme="minorHAnsi" w:hAnsi="Bookman Old Style" w:cstheme="minorBidi"/>
          <w:color w:val="auto"/>
          <w:sz w:val="20"/>
          <w:szCs w:val="24"/>
          <w:lang w:val="bg-BG"/>
        </w:rPr>
        <w:id w:val="1044020056"/>
        <w:docPartObj>
          <w:docPartGallery w:val="Table of Contents"/>
          <w:docPartUnique/>
        </w:docPartObj>
      </w:sdtPr>
      <w:sdtEndPr>
        <w:rPr>
          <w:b/>
          <w:bCs/>
          <w:noProof/>
          <w:sz w:val="24"/>
        </w:rPr>
      </w:sdtEndPr>
      <w:sdtContent>
        <w:p w14:paraId="66A90BB9" w14:textId="77777777" w:rsidR="00501E05" w:rsidRDefault="00501E05" w:rsidP="00664335">
          <w:pPr>
            <w:pStyle w:val="TOCHeading"/>
            <w:spacing w:before="240" w:after="240" w:line="240" w:lineRule="auto"/>
            <w:jc w:val="center"/>
            <w:rPr>
              <w:rFonts w:ascii="Bookman Old Style" w:eastAsiaTheme="minorHAnsi" w:hAnsi="Bookman Old Style" w:cstheme="minorBidi"/>
              <w:color w:val="auto"/>
              <w:sz w:val="20"/>
              <w:szCs w:val="24"/>
              <w:lang w:val="bg-BG"/>
            </w:rPr>
          </w:pPr>
        </w:p>
        <w:p w14:paraId="3B08F3C1" w14:textId="2C7A30A6" w:rsidR="00074256" w:rsidRPr="00B3335F" w:rsidRDefault="00074256" w:rsidP="00664335">
          <w:pPr>
            <w:pStyle w:val="TOCHeading"/>
            <w:spacing w:before="240" w:after="240" w:line="240" w:lineRule="auto"/>
            <w:jc w:val="center"/>
            <w:rPr>
              <w:rFonts w:ascii="Bookman Old Style" w:hAnsi="Bookman Old Style"/>
              <w:sz w:val="28"/>
              <w:szCs w:val="20"/>
              <w:lang w:val="bg-BG"/>
            </w:rPr>
          </w:pPr>
          <w:r w:rsidRPr="00B3335F">
            <w:rPr>
              <w:rFonts w:ascii="Bookman Old Style" w:hAnsi="Bookman Old Style"/>
              <w:sz w:val="28"/>
              <w:szCs w:val="20"/>
              <w:lang w:val="bg-BG"/>
            </w:rPr>
            <w:t>Съдържание</w:t>
          </w:r>
        </w:p>
        <w:p w14:paraId="76D9B171" w14:textId="77560193" w:rsidR="00501E05" w:rsidRPr="00501E05" w:rsidRDefault="00074256" w:rsidP="00501E05">
          <w:pPr>
            <w:pStyle w:val="TOC1"/>
            <w:tabs>
              <w:tab w:val="right" w:leader="dot" w:pos="9962"/>
            </w:tabs>
            <w:spacing w:after="120"/>
            <w:jc w:val="both"/>
            <w:rPr>
              <w:rFonts w:ascii="Bookman Old Style" w:eastAsiaTheme="minorEastAsia" w:hAnsi="Bookman Old Style"/>
              <w:noProof/>
              <w:sz w:val="22"/>
              <w:szCs w:val="22"/>
              <w:lang w:eastAsia="bg-BG"/>
            </w:rPr>
          </w:pPr>
          <w:r w:rsidRPr="00501E05">
            <w:rPr>
              <w:rFonts w:ascii="Bookman Old Style" w:hAnsi="Bookman Old Style"/>
              <w:sz w:val="22"/>
              <w:szCs w:val="22"/>
            </w:rPr>
            <w:fldChar w:fldCharType="begin"/>
          </w:r>
          <w:r w:rsidRPr="00501E05">
            <w:rPr>
              <w:rFonts w:ascii="Bookman Old Style" w:hAnsi="Bookman Old Style"/>
              <w:sz w:val="22"/>
              <w:szCs w:val="22"/>
            </w:rPr>
            <w:instrText xml:space="preserve"> TOC \o "1-3" \h \z \u </w:instrText>
          </w:r>
          <w:r w:rsidRPr="00501E05">
            <w:rPr>
              <w:rFonts w:ascii="Bookman Old Style" w:hAnsi="Bookman Old Style"/>
              <w:sz w:val="22"/>
              <w:szCs w:val="22"/>
            </w:rPr>
            <w:fldChar w:fldCharType="separate"/>
          </w:r>
          <w:hyperlink w:anchor="_Toc137200640" w:history="1">
            <w:r w:rsidR="00501E05" w:rsidRPr="00501E05">
              <w:rPr>
                <w:rStyle w:val="Hyperlink"/>
                <w:rFonts w:ascii="Bookman Old Style" w:hAnsi="Bookman Old Style"/>
                <w:noProof/>
                <w:sz w:val="22"/>
                <w:szCs w:val="22"/>
              </w:rPr>
              <w:t>Основни тенденции и проблеми  пред поземлените отношения</w:t>
            </w:r>
            <w:r w:rsidR="00501E05" w:rsidRPr="00501E05">
              <w:rPr>
                <w:rFonts w:ascii="Bookman Old Style" w:hAnsi="Bookman Old Style"/>
                <w:noProof/>
                <w:webHidden/>
                <w:sz w:val="22"/>
                <w:szCs w:val="22"/>
              </w:rPr>
              <w:tab/>
            </w:r>
            <w:r w:rsidR="00501E05" w:rsidRPr="00501E05">
              <w:rPr>
                <w:rFonts w:ascii="Bookman Old Style" w:hAnsi="Bookman Old Style"/>
                <w:noProof/>
                <w:webHidden/>
                <w:sz w:val="22"/>
                <w:szCs w:val="22"/>
              </w:rPr>
              <w:fldChar w:fldCharType="begin"/>
            </w:r>
            <w:r w:rsidR="00501E05" w:rsidRPr="00501E05">
              <w:rPr>
                <w:rFonts w:ascii="Bookman Old Style" w:hAnsi="Bookman Old Style"/>
                <w:noProof/>
                <w:webHidden/>
                <w:sz w:val="22"/>
                <w:szCs w:val="22"/>
              </w:rPr>
              <w:instrText xml:space="preserve"> PAGEREF _Toc137200640 \h </w:instrText>
            </w:r>
            <w:r w:rsidR="00501E05" w:rsidRPr="00501E05">
              <w:rPr>
                <w:rFonts w:ascii="Bookman Old Style" w:hAnsi="Bookman Old Style"/>
                <w:noProof/>
                <w:webHidden/>
                <w:sz w:val="22"/>
                <w:szCs w:val="22"/>
              </w:rPr>
            </w:r>
            <w:r w:rsidR="00501E05" w:rsidRPr="00501E05">
              <w:rPr>
                <w:rFonts w:ascii="Bookman Old Style" w:hAnsi="Bookman Old Style"/>
                <w:noProof/>
                <w:webHidden/>
                <w:sz w:val="22"/>
                <w:szCs w:val="22"/>
              </w:rPr>
              <w:fldChar w:fldCharType="separate"/>
            </w:r>
            <w:r w:rsidR="00501E05" w:rsidRPr="00501E05">
              <w:rPr>
                <w:rFonts w:ascii="Bookman Old Style" w:hAnsi="Bookman Old Style"/>
                <w:noProof/>
                <w:webHidden/>
                <w:sz w:val="22"/>
                <w:szCs w:val="22"/>
              </w:rPr>
              <w:t>2</w:t>
            </w:r>
            <w:r w:rsidR="00501E05" w:rsidRPr="00501E05">
              <w:rPr>
                <w:rFonts w:ascii="Bookman Old Style" w:hAnsi="Bookman Old Style"/>
                <w:noProof/>
                <w:webHidden/>
                <w:sz w:val="22"/>
                <w:szCs w:val="22"/>
              </w:rPr>
              <w:fldChar w:fldCharType="end"/>
            </w:r>
          </w:hyperlink>
        </w:p>
        <w:p w14:paraId="18794386" w14:textId="1B2FD71B" w:rsidR="00501E05" w:rsidRPr="00501E05" w:rsidRDefault="00501E05" w:rsidP="00501E05">
          <w:pPr>
            <w:pStyle w:val="TOC1"/>
            <w:tabs>
              <w:tab w:val="right" w:leader="dot" w:pos="9962"/>
            </w:tabs>
            <w:spacing w:after="120"/>
            <w:jc w:val="both"/>
            <w:rPr>
              <w:rFonts w:ascii="Bookman Old Style" w:eastAsiaTheme="minorEastAsia" w:hAnsi="Bookman Old Style"/>
              <w:noProof/>
              <w:sz w:val="22"/>
              <w:szCs w:val="22"/>
              <w:lang w:eastAsia="bg-BG"/>
            </w:rPr>
          </w:pPr>
          <w:hyperlink w:anchor="_Toc137200641" w:history="1">
            <w:r w:rsidRPr="00501E05">
              <w:rPr>
                <w:rStyle w:val="Hyperlink"/>
                <w:rFonts w:ascii="Bookman Old Style" w:hAnsi="Bookman Old Style"/>
                <w:noProof/>
                <w:sz w:val="22"/>
                <w:szCs w:val="22"/>
              </w:rPr>
              <w:t>Проблеми със собствеността и отдаването за ползване на земеделски земи</w:t>
            </w:r>
            <w:r w:rsidRPr="00501E05">
              <w:rPr>
                <w:rFonts w:ascii="Bookman Old Style" w:hAnsi="Bookman Old Style"/>
                <w:noProof/>
                <w:webHidden/>
                <w:sz w:val="22"/>
                <w:szCs w:val="22"/>
              </w:rPr>
              <w:tab/>
            </w:r>
            <w:r w:rsidRPr="00501E05">
              <w:rPr>
                <w:rFonts w:ascii="Bookman Old Style" w:hAnsi="Bookman Old Style"/>
                <w:noProof/>
                <w:webHidden/>
                <w:sz w:val="22"/>
                <w:szCs w:val="22"/>
              </w:rPr>
              <w:fldChar w:fldCharType="begin"/>
            </w:r>
            <w:r w:rsidRPr="00501E05">
              <w:rPr>
                <w:rFonts w:ascii="Bookman Old Style" w:hAnsi="Bookman Old Style"/>
                <w:noProof/>
                <w:webHidden/>
                <w:sz w:val="22"/>
                <w:szCs w:val="22"/>
              </w:rPr>
              <w:instrText xml:space="preserve"> PAGEREF _Toc137200641 \h </w:instrText>
            </w:r>
            <w:r w:rsidRPr="00501E05">
              <w:rPr>
                <w:rFonts w:ascii="Bookman Old Style" w:hAnsi="Bookman Old Style"/>
                <w:noProof/>
                <w:webHidden/>
                <w:sz w:val="22"/>
                <w:szCs w:val="22"/>
              </w:rPr>
            </w:r>
            <w:r w:rsidRPr="00501E05">
              <w:rPr>
                <w:rFonts w:ascii="Bookman Old Style" w:hAnsi="Bookman Old Style"/>
                <w:noProof/>
                <w:webHidden/>
                <w:sz w:val="22"/>
                <w:szCs w:val="22"/>
              </w:rPr>
              <w:fldChar w:fldCharType="separate"/>
            </w:r>
            <w:r w:rsidRPr="00501E05">
              <w:rPr>
                <w:rFonts w:ascii="Bookman Old Style" w:hAnsi="Bookman Old Style"/>
                <w:noProof/>
                <w:webHidden/>
                <w:sz w:val="22"/>
                <w:szCs w:val="22"/>
              </w:rPr>
              <w:t>4</w:t>
            </w:r>
            <w:r w:rsidRPr="00501E05">
              <w:rPr>
                <w:rFonts w:ascii="Bookman Old Style" w:hAnsi="Bookman Old Style"/>
                <w:noProof/>
                <w:webHidden/>
                <w:sz w:val="22"/>
                <w:szCs w:val="22"/>
              </w:rPr>
              <w:fldChar w:fldCharType="end"/>
            </w:r>
          </w:hyperlink>
        </w:p>
        <w:p w14:paraId="7F202EBD" w14:textId="6ABAB674" w:rsidR="00501E05" w:rsidRPr="00501E05" w:rsidRDefault="00501E05" w:rsidP="00501E05">
          <w:pPr>
            <w:pStyle w:val="TOC1"/>
            <w:tabs>
              <w:tab w:val="right" w:leader="dot" w:pos="9962"/>
            </w:tabs>
            <w:spacing w:after="120"/>
            <w:jc w:val="both"/>
            <w:rPr>
              <w:rFonts w:ascii="Bookman Old Style" w:eastAsiaTheme="minorEastAsia" w:hAnsi="Bookman Old Style"/>
              <w:noProof/>
              <w:sz w:val="22"/>
              <w:szCs w:val="22"/>
              <w:lang w:eastAsia="bg-BG"/>
            </w:rPr>
          </w:pPr>
          <w:hyperlink w:anchor="_Toc137200642" w:history="1">
            <w:r w:rsidRPr="00501E05">
              <w:rPr>
                <w:rStyle w:val="Hyperlink"/>
                <w:rFonts w:ascii="Bookman Old Style" w:hAnsi="Bookman Old Style"/>
                <w:noProof/>
                <w:sz w:val="22"/>
                <w:szCs w:val="22"/>
              </w:rPr>
              <w:t>Европейските политики  в областта на земеделието</w:t>
            </w:r>
            <w:r w:rsidRPr="00501E05">
              <w:rPr>
                <w:rFonts w:ascii="Bookman Old Style" w:hAnsi="Bookman Old Style"/>
                <w:noProof/>
                <w:webHidden/>
                <w:sz w:val="22"/>
                <w:szCs w:val="22"/>
              </w:rPr>
              <w:tab/>
            </w:r>
            <w:r w:rsidRPr="00501E05">
              <w:rPr>
                <w:rFonts w:ascii="Bookman Old Style" w:hAnsi="Bookman Old Style"/>
                <w:noProof/>
                <w:webHidden/>
                <w:sz w:val="22"/>
                <w:szCs w:val="22"/>
              </w:rPr>
              <w:fldChar w:fldCharType="begin"/>
            </w:r>
            <w:r w:rsidRPr="00501E05">
              <w:rPr>
                <w:rFonts w:ascii="Bookman Old Style" w:hAnsi="Bookman Old Style"/>
                <w:noProof/>
                <w:webHidden/>
                <w:sz w:val="22"/>
                <w:szCs w:val="22"/>
              </w:rPr>
              <w:instrText xml:space="preserve"> PAGEREF _Toc137200642 \h </w:instrText>
            </w:r>
            <w:r w:rsidRPr="00501E05">
              <w:rPr>
                <w:rFonts w:ascii="Bookman Old Style" w:hAnsi="Bookman Old Style"/>
                <w:noProof/>
                <w:webHidden/>
                <w:sz w:val="22"/>
                <w:szCs w:val="22"/>
              </w:rPr>
            </w:r>
            <w:r w:rsidRPr="00501E05">
              <w:rPr>
                <w:rFonts w:ascii="Bookman Old Style" w:hAnsi="Bookman Old Style"/>
                <w:noProof/>
                <w:webHidden/>
                <w:sz w:val="22"/>
                <w:szCs w:val="22"/>
              </w:rPr>
              <w:fldChar w:fldCharType="separate"/>
            </w:r>
            <w:r w:rsidRPr="00501E05">
              <w:rPr>
                <w:rFonts w:ascii="Bookman Old Style" w:hAnsi="Bookman Old Style"/>
                <w:noProof/>
                <w:webHidden/>
                <w:sz w:val="22"/>
                <w:szCs w:val="22"/>
              </w:rPr>
              <w:t>5</w:t>
            </w:r>
            <w:r w:rsidRPr="00501E05">
              <w:rPr>
                <w:rFonts w:ascii="Bookman Old Style" w:hAnsi="Bookman Old Style"/>
                <w:noProof/>
                <w:webHidden/>
                <w:sz w:val="22"/>
                <w:szCs w:val="22"/>
              </w:rPr>
              <w:fldChar w:fldCharType="end"/>
            </w:r>
          </w:hyperlink>
        </w:p>
        <w:p w14:paraId="10ADF84E" w14:textId="52BF14D6" w:rsidR="00501E05" w:rsidRPr="00501E05" w:rsidRDefault="00501E05" w:rsidP="00501E05">
          <w:pPr>
            <w:pStyle w:val="TOC1"/>
            <w:tabs>
              <w:tab w:val="right" w:leader="dot" w:pos="9962"/>
            </w:tabs>
            <w:spacing w:after="120"/>
            <w:jc w:val="both"/>
            <w:rPr>
              <w:rFonts w:ascii="Bookman Old Style" w:eastAsiaTheme="minorEastAsia" w:hAnsi="Bookman Old Style"/>
              <w:noProof/>
              <w:sz w:val="22"/>
              <w:szCs w:val="22"/>
              <w:lang w:eastAsia="bg-BG"/>
            </w:rPr>
          </w:pPr>
          <w:hyperlink w:anchor="_Toc137200643" w:history="1">
            <w:r w:rsidRPr="00501E05">
              <w:rPr>
                <w:rStyle w:val="Hyperlink"/>
                <w:rFonts w:ascii="Bookman Old Style" w:hAnsi="Bookman Old Style"/>
                <w:noProof/>
                <w:sz w:val="22"/>
                <w:szCs w:val="22"/>
              </w:rPr>
              <w:t>Ролята на аграрната наука</w:t>
            </w:r>
            <w:r w:rsidRPr="00501E05">
              <w:rPr>
                <w:rFonts w:ascii="Bookman Old Style" w:hAnsi="Bookman Old Style"/>
                <w:noProof/>
                <w:webHidden/>
                <w:sz w:val="22"/>
                <w:szCs w:val="22"/>
              </w:rPr>
              <w:tab/>
            </w:r>
            <w:r w:rsidRPr="00501E05">
              <w:rPr>
                <w:rFonts w:ascii="Bookman Old Style" w:hAnsi="Bookman Old Style"/>
                <w:noProof/>
                <w:webHidden/>
                <w:sz w:val="22"/>
                <w:szCs w:val="22"/>
              </w:rPr>
              <w:fldChar w:fldCharType="begin"/>
            </w:r>
            <w:r w:rsidRPr="00501E05">
              <w:rPr>
                <w:rFonts w:ascii="Bookman Old Style" w:hAnsi="Bookman Old Style"/>
                <w:noProof/>
                <w:webHidden/>
                <w:sz w:val="22"/>
                <w:szCs w:val="22"/>
              </w:rPr>
              <w:instrText xml:space="preserve"> PAGEREF _Toc137200643 \h </w:instrText>
            </w:r>
            <w:r w:rsidRPr="00501E05">
              <w:rPr>
                <w:rFonts w:ascii="Bookman Old Style" w:hAnsi="Bookman Old Style"/>
                <w:noProof/>
                <w:webHidden/>
                <w:sz w:val="22"/>
                <w:szCs w:val="22"/>
              </w:rPr>
            </w:r>
            <w:r w:rsidRPr="00501E05">
              <w:rPr>
                <w:rFonts w:ascii="Bookman Old Style" w:hAnsi="Bookman Old Style"/>
                <w:noProof/>
                <w:webHidden/>
                <w:sz w:val="22"/>
                <w:szCs w:val="22"/>
              </w:rPr>
              <w:fldChar w:fldCharType="separate"/>
            </w:r>
            <w:r w:rsidRPr="00501E05">
              <w:rPr>
                <w:rFonts w:ascii="Bookman Old Style" w:hAnsi="Bookman Old Style"/>
                <w:noProof/>
                <w:webHidden/>
                <w:sz w:val="22"/>
                <w:szCs w:val="22"/>
              </w:rPr>
              <w:t>5</w:t>
            </w:r>
            <w:r w:rsidRPr="00501E05">
              <w:rPr>
                <w:rFonts w:ascii="Bookman Old Style" w:hAnsi="Bookman Old Style"/>
                <w:noProof/>
                <w:webHidden/>
                <w:sz w:val="22"/>
                <w:szCs w:val="22"/>
              </w:rPr>
              <w:fldChar w:fldCharType="end"/>
            </w:r>
          </w:hyperlink>
        </w:p>
        <w:p w14:paraId="7D1B94AF" w14:textId="5DB7800B" w:rsidR="00501E05" w:rsidRPr="00501E05" w:rsidRDefault="00501E05" w:rsidP="00501E05">
          <w:pPr>
            <w:pStyle w:val="TOC1"/>
            <w:tabs>
              <w:tab w:val="right" w:leader="dot" w:pos="9962"/>
            </w:tabs>
            <w:spacing w:after="120"/>
            <w:jc w:val="both"/>
            <w:rPr>
              <w:rFonts w:ascii="Bookman Old Style" w:eastAsiaTheme="minorEastAsia" w:hAnsi="Bookman Old Style"/>
              <w:noProof/>
              <w:sz w:val="22"/>
              <w:szCs w:val="22"/>
              <w:lang w:eastAsia="bg-BG"/>
            </w:rPr>
          </w:pPr>
          <w:hyperlink w:anchor="_Toc137200644" w:history="1">
            <w:r w:rsidRPr="00501E05">
              <w:rPr>
                <w:rStyle w:val="Hyperlink"/>
                <w:rFonts w:ascii="Bookman Old Style" w:hAnsi="Bookman Old Style"/>
                <w:noProof/>
                <w:sz w:val="22"/>
                <w:szCs w:val="22"/>
              </w:rPr>
              <w:t>Стратегически план за развитие на земеделието и селските райони на  Р България за периода 2023-2027 г. и Национален план за възстановяване и устойчивост</w:t>
            </w:r>
            <w:r w:rsidRPr="00501E05">
              <w:rPr>
                <w:rFonts w:ascii="Bookman Old Style" w:hAnsi="Bookman Old Style"/>
                <w:noProof/>
                <w:webHidden/>
                <w:sz w:val="22"/>
                <w:szCs w:val="22"/>
              </w:rPr>
              <w:tab/>
            </w:r>
            <w:r w:rsidRPr="00501E05">
              <w:rPr>
                <w:rFonts w:ascii="Bookman Old Style" w:hAnsi="Bookman Old Style"/>
                <w:noProof/>
                <w:webHidden/>
                <w:sz w:val="22"/>
                <w:szCs w:val="22"/>
              </w:rPr>
              <w:fldChar w:fldCharType="begin"/>
            </w:r>
            <w:r w:rsidRPr="00501E05">
              <w:rPr>
                <w:rFonts w:ascii="Bookman Old Style" w:hAnsi="Bookman Old Style"/>
                <w:noProof/>
                <w:webHidden/>
                <w:sz w:val="22"/>
                <w:szCs w:val="22"/>
              </w:rPr>
              <w:instrText xml:space="preserve"> PAGEREF _Toc137200644 \h </w:instrText>
            </w:r>
            <w:r w:rsidRPr="00501E05">
              <w:rPr>
                <w:rFonts w:ascii="Bookman Old Style" w:hAnsi="Bookman Old Style"/>
                <w:noProof/>
                <w:webHidden/>
                <w:sz w:val="22"/>
                <w:szCs w:val="22"/>
              </w:rPr>
            </w:r>
            <w:r w:rsidRPr="00501E05">
              <w:rPr>
                <w:rFonts w:ascii="Bookman Old Style" w:hAnsi="Bookman Old Style"/>
                <w:noProof/>
                <w:webHidden/>
                <w:sz w:val="22"/>
                <w:szCs w:val="22"/>
              </w:rPr>
              <w:fldChar w:fldCharType="separate"/>
            </w:r>
            <w:r w:rsidRPr="00501E05">
              <w:rPr>
                <w:rFonts w:ascii="Bookman Old Style" w:hAnsi="Bookman Old Style"/>
                <w:noProof/>
                <w:webHidden/>
                <w:sz w:val="22"/>
                <w:szCs w:val="22"/>
              </w:rPr>
              <w:t>6</w:t>
            </w:r>
            <w:r w:rsidRPr="00501E05">
              <w:rPr>
                <w:rFonts w:ascii="Bookman Old Style" w:hAnsi="Bookman Old Style"/>
                <w:noProof/>
                <w:webHidden/>
                <w:sz w:val="22"/>
                <w:szCs w:val="22"/>
              </w:rPr>
              <w:fldChar w:fldCharType="end"/>
            </w:r>
          </w:hyperlink>
        </w:p>
        <w:p w14:paraId="2624014D" w14:textId="5B563237" w:rsidR="00501E05" w:rsidRPr="00501E05" w:rsidRDefault="00501E05" w:rsidP="00501E05">
          <w:pPr>
            <w:pStyle w:val="TOC1"/>
            <w:tabs>
              <w:tab w:val="right" w:leader="dot" w:pos="9962"/>
            </w:tabs>
            <w:spacing w:after="120"/>
            <w:jc w:val="both"/>
            <w:rPr>
              <w:rFonts w:ascii="Bookman Old Style" w:eastAsiaTheme="minorEastAsia" w:hAnsi="Bookman Old Style"/>
              <w:noProof/>
              <w:sz w:val="22"/>
              <w:szCs w:val="22"/>
              <w:lang w:eastAsia="bg-BG"/>
            </w:rPr>
          </w:pPr>
          <w:hyperlink w:anchor="_Toc137200645" w:history="1">
            <w:r w:rsidRPr="00501E05">
              <w:rPr>
                <w:rStyle w:val="Hyperlink"/>
                <w:rFonts w:ascii="Bookman Old Style" w:hAnsi="Bookman Old Style"/>
                <w:noProof/>
                <w:sz w:val="22"/>
                <w:szCs w:val="22"/>
              </w:rPr>
              <w:t>Годишни награди на БАСЗЗ</w:t>
            </w:r>
            <w:r w:rsidRPr="00501E05">
              <w:rPr>
                <w:rFonts w:ascii="Bookman Old Style" w:hAnsi="Bookman Old Style"/>
                <w:noProof/>
                <w:webHidden/>
                <w:sz w:val="22"/>
                <w:szCs w:val="22"/>
              </w:rPr>
              <w:tab/>
            </w:r>
            <w:r w:rsidRPr="00501E05">
              <w:rPr>
                <w:rFonts w:ascii="Bookman Old Style" w:hAnsi="Bookman Old Style"/>
                <w:noProof/>
                <w:webHidden/>
                <w:sz w:val="22"/>
                <w:szCs w:val="22"/>
              </w:rPr>
              <w:fldChar w:fldCharType="begin"/>
            </w:r>
            <w:r w:rsidRPr="00501E05">
              <w:rPr>
                <w:rFonts w:ascii="Bookman Old Style" w:hAnsi="Bookman Old Style"/>
                <w:noProof/>
                <w:webHidden/>
                <w:sz w:val="22"/>
                <w:szCs w:val="22"/>
              </w:rPr>
              <w:instrText xml:space="preserve"> PAGEREF _Toc137200645 \h </w:instrText>
            </w:r>
            <w:r w:rsidRPr="00501E05">
              <w:rPr>
                <w:rFonts w:ascii="Bookman Old Style" w:hAnsi="Bookman Old Style"/>
                <w:noProof/>
                <w:webHidden/>
                <w:sz w:val="22"/>
                <w:szCs w:val="22"/>
              </w:rPr>
            </w:r>
            <w:r w:rsidRPr="00501E05">
              <w:rPr>
                <w:rFonts w:ascii="Bookman Old Style" w:hAnsi="Bookman Old Style"/>
                <w:noProof/>
                <w:webHidden/>
                <w:sz w:val="22"/>
                <w:szCs w:val="22"/>
              </w:rPr>
              <w:fldChar w:fldCharType="separate"/>
            </w:r>
            <w:r w:rsidRPr="00501E05">
              <w:rPr>
                <w:rFonts w:ascii="Bookman Old Style" w:hAnsi="Bookman Old Style"/>
                <w:noProof/>
                <w:webHidden/>
                <w:sz w:val="22"/>
                <w:szCs w:val="22"/>
              </w:rPr>
              <w:t>8</w:t>
            </w:r>
            <w:r w:rsidRPr="00501E05">
              <w:rPr>
                <w:rFonts w:ascii="Bookman Old Style" w:hAnsi="Bookman Old Style"/>
                <w:noProof/>
                <w:webHidden/>
                <w:sz w:val="22"/>
                <w:szCs w:val="22"/>
              </w:rPr>
              <w:fldChar w:fldCharType="end"/>
            </w:r>
          </w:hyperlink>
        </w:p>
        <w:p w14:paraId="7EDBF974" w14:textId="3D2606A5" w:rsidR="00074256" w:rsidRPr="00B3335F" w:rsidRDefault="00074256" w:rsidP="00501E05">
          <w:pPr>
            <w:spacing w:after="120"/>
            <w:jc w:val="both"/>
            <w:rPr>
              <w:rFonts w:ascii="Bookman Old Style" w:hAnsi="Bookman Old Style"/>
            </w:rPr>
          </w:pPr>
          <w:r w:rsidRPr="00501E05">
            <w:rPr>
              <w:rFonts w:ascii="Bookman Old Style" w:hAnsi="Bookman Old Style"/>
              <w:b/>
              <w:bCs/>
              <w:noProof/>
              <w:sz w:val="22"/>
              <w:szCs w:val="22"/>
            </w:rPr>
            <w:fldChar w:fldCharType="end"/>
          </w:r>
        </w:p>
      </w:sdtContent>
    </w:sdt>
    <w:p w14:paraId="57FDD4DF" w14:textId="77777777" w:rsidR="0076317E" w:rsidRPr="00B3335F" w:rsidRDefault="000053DB" w:rsidP="006F1855">
      <w:pPr>
        <w:pStyle w:val="Heading1"/>
      </w:pPr>
      <w:bookmarkStart w:id="1" w:name="_Toc137200640"/>
      <w:r w:rsidRPr="00B3335F">
        <w:lastRenderedPageBreak/>
        <w:t>Основни тенденции</w:t>
      </w:r>
      <w:r w:rsidR="00B3434D" w:rsidRPr="00B3335F">
        <w:t xml:space="preserve"> и проблеми </w:t>
      </w:r>
      <w:r w:rsidR="00B3434D" w:rsidRPr="00B3335F">
        <w:br/>
        <w:t>пред поземлените отношения</w:t>
      </w:r>
      <w:bookmarkEnd w:id="1"/>
    </w:p>
    <w:p w14:paraId="3FDC410F" w14:textId="77777777" w:rsidR="00DC4189" w:rsidRPr="00B3335F" w:rsidRDefault="00127E49" w:rsidP="00127E49">
      <w:pPr>
        <w:spacing w:after="120"/>
        <w:ind w:firstLine="425"/>
        <w:jc w:val="both"/>
        <w:rPr>
          <w:rFonts w:ascii="Bookman Old Style" w:hAnsi="Bookman Old Style"/>
          <w:sz w:val="22"/>
        </w:rPr>
      </w:pPr>
      <w:r w:rsidRPr="00B3335F">
        <w:rPr>
          <w:rFonts w:ascii="Bookman Old Style" w:hAnsi="Bookman Old Style"/>
          <w:sz w:val="22"/>
        </w:rPr>
        <w:t xml:space="preserve">В изказването си пред участниците във форума председателят на УС на БАСЗЗ </w:t>
      </w:r>
      <w:r w:rsidRPr="00B3335F">
        <w:rPr>
          <w:rFonts w:ascii="Bookman Old Style" w:hAnsi="Bookman Old Style"/>
          <w:b/>
          <w:sz w:val="22"/>
          <w:u w:val="single"/>
        </w:rPr>
        <w:t>Стайко Стайков</w:t>
      </w:r>
      <w:r w:rsidRPr="00B3335F">
        <w:rPr>
          <w:rFonts w:ascii="Bookman Old Style" w:hAnsi="Bookman Old Style"/>
          <w:sz w:val="22"/>
        </w:rPr>
        <w:t xml:space="preserve"> подчерта, че мисията на сдружението е, в партньорство със законодателната, изпълнителната и местната власт, заедно с неправителствения сектор и аграрната наука, да подпомогне развитието на модерно, пазарно ориентирано земеделие и поземлени отношения. </w:t>
      </w:r>
      <w:r w:rsidR="00DC4189" w:rsidRPr="00B3335F">
        <w:rPr>
          <w:rFonts w:ascii="Bookman Old Style" w:hAnsi="Bookman Old Style"/>
          <w:sz w:val="22"/>
        </w:rPr>
        <w:t>„</w:t>
      </w:r>
      <w:r w:rsidR="00DC4189" w:rsidRPr="00B3335F">
        <w:rPr>
          <w:rFonts w:ascii="Bookman Old Style" w:hAnsi="Bookman Old Style"/>
          <w:i/>
          <w:sz w:val="22"/>
        </w:rPr>
        <w:t xml:space="preserve">Уверен съм, че само чрез диалог, равнопоставеност и партньорство между институциите и организациите в сектора  ще бъдат изпълнени  поставените цели“, </w:t>
      </w:r>
      <w:r w:rsidR="00DC4189" w:rsidRPr="00B3335F">
        <w:rPr>
          <w:rFonts w:ascii="Bookman Old Style" w:hAnsi="Bookman Old Style"/>
          <w:sz w:val="22"/>
        </w:rPr>
        <w:t>каза председателят на БАСЗЗ</w:t>
      </w:r>
      <w:r w:rsidR="00DC4189" w:rsidRPr="00B3335F">
        <w:rPr>
          <w:rFonts w:ascii="Bookman Old Style" w:hAnsi="Bookman Old Style"/>
          <w:i/>
          <w:sz w:val="22"/>
        </w:rPr>
        <w:t xml:space="preserve">. </w:t>
      </w:r>
      <w:r w:rsidR="00DC4189" w:rsidRPr="00B3335F">
        <w:rPr>
          <w:rFonts w:ascii="Bookman Old Style" w:hAnsi="Bookman Old Style"/>
          <w:sz w:val="22"/>
        </w:rPr>
        <w:t>Той отбеляза, че сред ключовите цели на сдружението е д</w:t>
      </w:r>
      <w:r w:rsidRPr="00B3335F">
        <w:rPr>
          <w:rFonts w:ascii="Bookman Old Style" w:hAnsi="Bookman Old Style"/>
          <w:sz w:val="22"/>
        </w:rPr>
        <w:t>оходите на българските фермери да се изравнят с тези на колегите им от старите страни-членки на Европейския съюз, на базата пренареждането и групирането на земеделските земи за повишаване на производителността и добавената им стойност, модернизирането и изграждането на нова хидромелиоративна инфраструктура, проактивни мерки за предпазване от ерозия, наводнения, пожари и т.н. „</w:t>
      </w:r>
      <w:r w:rsidRPr="00B3335F">
        <w:rPr>
          <w:rFonts w:ascii="Bookman Old Style" w:hAnsi="Bookman Old Style"/>
          <w:i/>
          <w:sz w:val="22"/>
        </w:rPr>
        <w:t xml:space="preserve">Изхождайки от факта, че земеделската земя е ограничен природен ресурс, правилното й управление, грижата и опазването </w:t>
      </w:r>
      <w:r w:rsidRPr="00B3335F">
        <w:rPr>
          <w:rFonts w:ascii="Cambria" w:hAnsi="Cambria" w:cs="Cambria"/>
          <w:i/>
          <w:sz w:val="22"/>
        </w:rPr>
        <w:t>ѝ</w:t>
      </w:r>
      <w:r w:rsidRPr="00B3335F">
        <w:rPr>
          <w:rFonts w:ascii="Bookman Old Style" w:hAnsi="Bookman Old Style"/>
          <w:i/>
          <w:sz w:val="22"/>
        </w:rPr>
        <w:t xml:space="preserve"> имат първостепенно значение за членовете на БАСЗЗ</w:t>
      </w:r>
      <w:r w:rsidR="00DC4189" w:rsidRPr="00B3335F">
        <w:rPr>
          <w:rFonts w:ascii="Bookman Old Style" w:hAnsi="Bookman Old Style"/>
          <w:i/>
          <w:sz w:val="22"/>
        </w:rPr>
        <w:t>“,</w:t>
      </w:r>
      <w:r w:rsidRPr="00B3335F">
        <w:rPr>
          <w:rFonts w:ascii="Bookman Old Style" w:hAnsi="Bookman Old Style"/>
          <w:i/>
          <w:sz w:val="22"/>
        </w:rPr>
        <w:t xml:space="preserve"> </w:t>
      </w:r>
      <w:r w:rsidR="00DC4189" w:rsidRPr="00B3335F">
        <w:rPr>
          <w:rFonts w:ascii="Bookman Old Style" w:hAnsi="Bookman Old Style"/>
          <w:sz w:val="22"/>
        </w:rPr>
        <w:t xml:space="preserve">категоричен бе Стайко Стайков. </w:t>
      </w:r>
    </w:p>
    <w:p w14:paraId="7FB8B250" w14:textId="77777777" w:rsidR="00311C54" w:rsidRPr="00B3335F" w:rsidRDefault="00311C54" w:rsidP="00311C54">
      <w:pPr>
        <w:spacing w:after="120"/>
        <w:ind w:firstLine="425"/>
        <w:jc w:val="both"/>
        <w:rPr>
          <w:rFonts w:ascii="Bookman Old Style" w:hAnsi="Bookman Old Style"/>
          <w:sz w:val="22"/>
        </w:rPr>
      </w:pPr>
      <w:r w:rsidRPr="00B3335F">
        <w:rPr>
          <w:rFonts w:ascii="Bookman Old Style" w:hAnsi="Bookman Old Style"/>
          <w:sz w:val="22"/>
        </w:rPr>
        <w:t>Той припомни, че през последните няколко години българските собственици на земи и земеделски производители се сблъскаха с непознати глобални и национални рискове и проблеми в лицето на КОВИД-19 и войната в Украйна, довели до:</w:t>
      </w:r>
    </w:p>
    <w:p w14:paraId="6B9DAD68"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липса на сигурност и предвидимост;</w:t>
      </w:r>
    </w:p>
    <w:p w14:paraId="1B1262D9"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нарушени вериги на доставки;</w:t>
      </w:r>
    </w:p>
    <w:p w14:paraId="2B66E03F"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рязко увеличение на цените на горива, семена, торове, препарати и т.н.</w:t>
      </w:r>
    </w:p>
    <w:p w14:paraId="24B59A52"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волатилни и непредсказуеми пазари на основните земеделски суровини;</w:t>
      </w:r>
    </w:p>
    <w:p w14:paraId="65EDEF90"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изгубени и преразпределени традиционни пазари за българската селскостопанска продукция;</w:t>
      </w:r>
    </w:p>
    <w:p w14:paraId="740C54DB"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бавна и недостатъчна подкрепа на ниво Европейски съюз;</w:t>
      </w:r>
    </w:p>
    <w:p w14:paraId="182044D4" w14:textId="77777777" w:rsidR="00311C54" w:rsidRPr="00B3335F" w:rsidRDefault="00311C54" w:rsidP="00FB32CA">
      <w:pPr>
        <w:pStyle w:val="ListParagraph"/>
        <w:numPr>
          <w:ilvl w:val="0"/>
          <w:numId w:val="3"/>
        </w:numPr>
        <w:spacing w:after="120"/>
        <w:ind w:left="709" w:hanging="283"/>
        <w:jc w:val="both"/>
        <w:rPr>
          <w:rFonts w:ascii="Bookman Old Style" w:hAnsi="Bookman Old Style"/>
          <w:sz w:val="22"/>
        </w:rPr>
      </w:pPr>
      <w:r w:rsidRPr="00B3335F">
        <w:rPr>
          <w:rFonts w:ascii="Bookman Old Style" w:hAnsi="Bookman Old Style"/>
          <w:sz w:val="22"/>
        </w:rPr>
        <w:t>задържащи се на относително високо ниво цени на хранителните продукт</w:t>
      </w:r>
      <w:r w:rsidR="00B95F71" w:rsidRPr="00B3335F">
        <w:rPr>
          <w:rFonts w:ascii="Bookman Old Style" w:hAnsi="Bookman Old Style"/>
          <w:sz w:val="22"/>
        </w:rPr>
        <w:t>и на дребно в магазинната мрежа.</w:t>
      </w:r>
    </w:p>
    <w:p w14:paraId="28FD48D1" w14:textId="77777777" w:rsidR="00DC4189" w:rsidRPr="00B3335F" w:rsidRDefault="00DC4189" w:rsidP="00DC4189">
      <w:pPr>
        <w:spacing w:after="120"/>
        <w:ind w:firstLine="425"/>
        <w:jc w:val="both"/>
        <w:rPr>
          <w:rFonts w:ascii="Bookman Old Style" w:hAnsi="Bookman Old Style"/>
          <w:sz w:val="22"/>
        </w:rPr>
      </w:pPr>
      <w:r w:rsidRPr="00B3335F">
        <w:rPr>
          <w:rFonts w:ascii="Bookman Old Style" w:hAnsi="Bookman Old Style"/>
          <w:sz w:val="22"/>
        </w:rPr>
        <w:t xml:space="preserve">Според председателя на БАСЗЗ, реформите в българското земеделие трябва да продължат, отчитайки </w:t>
      </w:r>
      <w:r w:rsidRPr="00B3335F">
        <w:rPr>
          <w:rFonts w:ascii="Bookman Old Style" w:hAnsi="Bookman Old Style"/>
          <w:b/>
          <w:sz w:val="22"/>
        </w:rPr>
        <w:t>структурните несъвършенства и дисбаланси</w:t>
      </w:r>
      <w:r w:rsidRPr="00B3335F">
        <w:rPr>
          <w:rFonts w:ascii="Bookman Old Style" w:hAnsi="Bookman Old Style"/>
          <w:sz w:val="22"/>
        </w:rPr>
        <w:t>, по-важните от които са:</w:t>
      </w:r>
    </w:p>
    <w:p w14:paraId="17DF3E90" w14:textId="77777777" w:rsidR="00DC4189" w:rsidRPr="00B3335F" w:rsidRDefault="00DC4189" w:rsidP="00DC4189">
      <w:pPr>
        <w:pStyle w:val="ListParagraph"/>
        <w:numPr>
          <w:ilvl w:val="0"/>
          <w:numId w:val="1"/>
        </w:numPr>
        <w:spacing w:after="120"/>
        <w:jc w:val="both"/>
        <w:rPr>
          <w:rFonts w:ascii="Bookman Old Style" w:hAnsi="Bookman Old Style"/>
          <w:sz w:val="22"/>
        </w:rPr>
      </w:pPr>
      <w:r w:rsidRPr="00B3335F">
        <w:rPr>
          <w:rFonts w:ascii="Bookman Old Style" w:hAnsi="Bookman Old Style"/>
          <w:b/>
          <w:sz w:val="22"/>
        </w:rPr>
        <w:t>Липсата на дългосрочни държавни политики и програми</w:t>
      </w:r>
      <w:r w:rsidRPr="00B3335F">
        <w:rPr>
          <w:rFonts w:ascii="Bookman Old Style" w:hAnsi="Bookman Old Style"/>
          <w:sz w:val="22"/>
        </w:rPr>
        <w:t xml:space="preserve"> за развитието на земеделието и поземлените отношения, в частност.</w:t>
      </w:r>
    </w:p>
    <w:p w14:paraId="6A6FDC79" w14:textId="77777777" w:rsidR="00DC4189" w:rsidRPr="00B3335F" w:rsidRDefault="00DC4189" w:rsidP="00DC4189">
      <w:pPr>
        <w:pStyle w:val="ListParagraph"/>
        <w:numPr>
          <w:ilvl w:val="0"/>
          <w:numId w:val="1"/>
        </w:numPr>
        <w:spacing w:after="120"/>
        <w:jc w:val="both"/>
        <w:rPr>
          <w:rFonts w:ascii="Bookman Old Style" w:hAnsi="Bookman Old Style"/>
          <w:sz w:val="22"/>
        </w:rPr>
      </w:pPr>
      <w:r w:rsidRPr="00B3335F">
        <w:rPr>
          <w:rFonts w:ascii="Bookman Old Style" w:hAnsi="Bookman Old Style"/>
          <w:sz w:val="22"/>
        </w:rPr>
        <w:t xml:space="preserve">Съществуването на стотици неправителствени земеделски организации, респективно – </w:t>
      </w:r>
      <w:r w:rsidRPr="00B3335F">
        <w:rPr>
          <w:rFonts w:ascii="Bookman Old Style" w:hAnsi="Bookman Old Style"/>
          <w:b/>
          <w:sz w:val="22"/>
        </w:rPr>
        <w:t>липсата на обединение</w:t>
      </w:r>
      <w:r w:rsidRPr="00B3335F">
        <w:rPr>
          <w:rFonts w:ascii="Bookman Old Style" w:hAnsi="Bookman Old Style"/>
          <w:sz w:val="22"/>
        </w:rPr>
        <w:t xml:space="preserve"> по браншови, продуктов или функционален признак.  </w:t>
      </w:r>
    </w:p>
    <w:p w14:paraId="6069F6B5" w14:textId="77777777" w:rsidR="00311C54" w:rsidRPr="00B3335F" w:rsidRDefault="00DC4189" w:rsidP="00311C54">
      <w:pPr>
        <w:pStyle w:val="ListParagraph"/>
        <w:numPr>
          <w:ilvl w:val="0"/>
          <w:numId w:val="1"/>
        </w:numPr>
        <w:spacing w:after="120"/>
        <w:jc w:val="both"/>
        <w:rPr>
          <w:rFonts w:ascii="Bookman Old Style" w:hAnsi="Bookman Old Style"/>
          <w:sz w:val="22"/>
        </w:rPr>
      </w:pPr>
      <w:r w:rsidRPr="00B3335F">
        <w:rPr>
          <w:rFonts w:ascii="Bookman Old Style" w:hAnsi="Bookman Old Style"/>
          <w:b/>
          <w:sz w:val="22"/>
        </w:rPr>
        <w:t>Проблемите пред собствеността и управлението на земеделските земи и земеползването</w:t>
      </w:r>
      <w:r w:rsidR="00311C54" w:rsidRPr="00B3335F">
        <w:rPr>
          <w:rFonts w:ascii="Bookman Old Style" w:hAnsi="Bookman Old Style"/>
          <w:b/>
          <w:sz w:val="22"/>
        </w:rPr>
        <w:t>, вкл.:</w:t>
      </w:r>
    </w:p>
    <w:p w14:paraId="5C2A550B" w14:textId="77777777" w:rsidR="00DC4189" w:rsidRPr="00B3335F" w:rsidRDefault="00311C54" w:rsidP="00FB32CA">
      <w:pPr>
        <w:pStyle w:val="ListParagraph"/>
        <w:numPr>
          <w:ilvl w:val="1"/>
          <w:numId w:val="2"/>
        </w:numPr>
        <w:spacing w:after="120"/>
        <w:ind w:left="709" w:hanging="283"/>
        <w:jc w:val="both"/>
        <w:rPr>
          <w:rFonts w:ascii="Bookman Old Style" w:hAnsi="Bookman Old Style"/>
          <w:sz w:val="22"/>
        </w:rPr>
      </w:pPr>
      <w:r w:rsidRPr="00B3335F">
        <w:rPr>
          <w:rFonts w:ascii="Bookman Old Style" w:hAnsi="Bookman Old Style"/>
          <w:sz w:val="22"/>
        </w:rPr>
        <w:t>Р</w:t>
      </w:r>
      <w:r w:rsidR="00DC4189" w:rsidRPr="00B3335F">
        <w:rPr>
          <w:rFonts w:ascii="Bookman Old Style" w:hAnsi="Bookman Old Style"/>
          <w:sz w:val="22"/>
        </w:rPr>
        <w:t>азпокъсаността на земята, малките по размер обработваеми парцели и липсата на напояване, които затрудняват развитието на модерно, ефективно и рентабилно земеделие, създават несигурност и трудности пред дългосрочните инвестиции в отрасъла, пречат на развитието на интензивно земеделие и влияят негативно върху почвеното опазване, плодородието, сеитбооборота</w:t>
      </w:r>
      <w:r w:rsidRPr="00B3335F">
        <w:rPr>
          <w:rFonts w:ascii="Bookman Old Style" w:hAnsi="Bookman Old Style"/>
          <w:sz w:val="22"/>
        </w:rPr>
        <w:t xml:space="preserve"> </w:t>
      </w:r>
      <w:r w:rsidR="00DC4189" w:rsidRPr="00B3335F">
        <w:rPr>
          <w:rFonts w:ascii="Bookman Old Style" w:hAnsi="Bookman Old Style"/>
          <w:sz w:val="22"/>
        </w:rPr>
        <w:t>и т.н.</w:t>
      </w:r>
      <w:r w:rsidRPr="00B3335F">
        <w:rPr>
          <w:rFonts w:ascii="Bookman Old Style" w:hAnsi="Bookman Old Style"/>
          <w:sz w:val="22"/>
        </w:rPr>
        <w:t>;</w:t>
      </w:r>
    </w:p>
    <w:p w14:paraId="5F0D7849" w14:textId="77777777" w:rsidR="00311C54" w:rsidRPr="00B3335F" w:rsidRDefault="00311C54" w:rsidP="00FB32CA">
      <w:pPr>
        <w:pStyle w:val="ListParagraph"/>
        <w:numPr>
          <w:ilvl w:val="1"/>
          <w:numId w:val="2"/>
        </w:numPr>
        <w:spacing w:after="120"/>
        <w:ind w:left="709" w:hanging="283"/>
        <w:jc w:val="both"/>
        <w:rPr>
          <w:rFonts w:ascii="Bookman Old Style" w:hAnsi="Bookman Old Style"/>
          <w:sz w:val="22"/>
        </w:rPr>
      </w:pPr>
      <w:r w:rsidRPr="00B3335F">
        <w:rPr>
          <w:rFonts w:ascii="Bookman Old Style" w:hAnsi="Bookman Old Style"/>
          <w:sz w:val="22"/>
        </w:rPr>
        <w:t>Проблемът с т.нар. комасация по ползване или „бели петна”;</w:t>
      </w:r>
    </w:p>
    <w:p w14:paraId="22CC7AF0" w14:textId="77777777" w:rsidR="00311C54" w:rsidRPr="00B3335F" w:rsidRDefault="00311C54" w:rsidP="00FB32CA">
      <w:pPr>
        <w:pStyle w:val="ListParagraph"/>
        <w:numPr>
          <w:ilvl w:val="1"/>
          <w:numId w:val="2"/>
        </w:numPr>
        <w:spacing w:after="120"/>
        <w:ind w:left="709" w:hanging="283"/>
        <w:jc w:val="both"/>
        <w:rPr>
          <w:rFonts w:ascii="Bookman Old Style" w:hAnsi="Bookman Old Style"/>
          <w:sz w:val="22"/>
        </w:rPr>
      </w:pPr>
      <w:r w:rsidRPr="00B3335F">
        <w:rPr>
          <w:rFonts w:ascii="Bookman Old Style" w:hAnsi="Bookman Old Style"/>
          <w:sz w:val="22"/>
        </w:rPr>
        <w:t>Порочното прилагане на Закона за кадастъра и имотния регистър, и непазарните обезщетения, които изплаща държавата на собствениците при отчуждаване.</w:t>
      </w:r>
    </w:p>
    <w:p w14:paraId="19950AAD" w14:textId="77777777" w:rsidR="00DC4189" w:rsidRPr="00B3335F" w:rsidRDefault="00DC4189" w:rsidP="00DF1E3A">
      <w:pPr>
        <w:pStyle w:val="ListParagraph"/>
        <w:numPr>
          <w:ilvl w:val="0"/>
          <w:numId w:val="1"/>
        </w:numPr>
        <w:spacing w:after="120"/>
        <w:jc w:val="both"/>
        <w:rPr>
          <w:rFonts w:ascii="Bookman Old Style" w:hAnsi="Bookman Old Style"/>
          <w:sz w:val="22"/>
        </w:rPr>
      </w:pPr>
      <w:r w:rsidRPr="00B3335F">
        <w:rPr>
          <w:rFonts w:ascii="Bookman Old Style" w:hAnsi="Bookman Old Style"/>
          <w:b/>
          <w:sz w:val="22"/>
        </w:rPr>
        <w:lastRenderedPageBreak/>
        <w:t>Критичното състояние на хидромелиоративната инфраструктура</w:t>
      </w:r>
      <w:r w:rsidRPr="00B3335F">
        <w:rPr>
          <w:rFonts w:ascii="Bookman Old Style" w:hAnsi="Bookman Old Style"/>
          <w:sz w:val="22"/>
        </w:rPr>
        <w:t xml:space="preserve"> за напояване, отводняване и превенция. Необходимо е да се предприемат спешни мерки за проектиране и изграждане на нова, възстановяването и модернизирането на съществуващата хидромелиоративна инфраструктура (държавна и общинска собственост), да се установи в спешен порядък състоянието и собствеността на съществуващите съоръжения, да се осигури финансов ресурс и стимул за собствениците на земеделски земи и земеделските производители да изграждат нови напоителни и отводнителни съоръжения на ниво стопанство.</w:t>
      </w:r>
    </w:p>
    <w:p w14:paraId="05C75F40" w14:textId="77777777" w:rsidR="00311C54" w:rsidRPr="00B3335F" w:rsidRDefault="00311C54" w:rsidP="00B04942">
      <w:pPr>
        <w:pStyle w:val="ListParagraph"/>
        <w:numPr>
          <w:ilvl w:val="0"/>
          <w:numId w:val="1"/>
        </w:numPr>
        <w:spacing w:after="120"/>
        <w:jc w:val="both"/>
        <w:rPr>
          <w:rFonts w:ascii="Bookman Old Style" w:hAnsi="Bookman Old Style"/>
          <w:sz w:val="22"/>
        </w:rPr>
      </w:pPr>
      <w:r w:rsidRPr="00B3335F">
        <w:rPr>
          <w:rFonts w:ascii="Bookman Old Style" w:hAnsi="Bookman Old Style"/>
          <w:b/>
          <w:sz w:val="22"/>
        </w:rPr>
        <w:t>Недостатъчна защита на неприкосновената частна собственост</w:t>
      </w:r>
      <w:r w:rsidRPr="00B3335F">
        <w:rPr>
          <w:rFonts w:ascii="Bookman Old Style" w:hAnsi="Bookman Old Style"/>
          <w:sz w:val="22"/>
        </w:rPr>
        <w:t>.</w:t>
      </w:r>
    </w:p>
    <w:p w14:paraId="4C9DC9E7" w14:textId="77777777" w:rsidR="00311C54" w:rsidRPr="00B3335F" w:rsidRDefault="00311C54" w:rsidP="00311C54">
      <w:pPr>
        <w:pStyle w:val="ListParagraph"/>
        <w:numPr>
          <w:ilvl w:val="0"/>
          <w:numId w:val="1"/>
        </w:numPr>
        <w:spacing w:after="120"/>
        <w:jc w:val="both"/>
        <w:rPr>
          <w:rFonts w:ascii="Bookman Old Style" w:hAnsi="Bookman Old Style"/>
          <w:sz w:val="22"/>
        </w:rPr>
      </w:pPr>
      <w:r w:rsidRPr="00B3335F">
        <w:rPr>
          <w:rFonts w:ascii="Bookman Old Style" w:hAnsi="Bookman Old Style"/>
          <w:b/>
          <w:sz w:val="22"/>
        </w:rPr>
        <w:t>Стартирането на национални инфраструктурни проекти без съобразяване със селскостопанската година,</w:t>
      </w:r>
      <w:r w:rsidRPr="00B3335F">
        <w:rPr>
          <w:rFonts w:ascii="Bookman Old Style" w:hAnsi="Bookman Old Style"/>
          <w:sz w:val="22"/>
        </w:rPr>
        <w:t xml:space="preserve"> недаване на възможност на фермера първо да прибере реколтата си и т.н., водещи до преки загуби и проблеми за собствениците и земеделците.</w:t>
      </w:r>
    </w:p>
    <w:p w14:paraId="5C5790D6" w14:textId="77777777" w:rsidR="00311C54" w:rsidRPr="00B3335F" w:rsidRDefault="00311C54" w:rsidP="00311C54">
      <w:pPr>
        <w:pStyle w:val="ListParagraph"/>
        <w:numPr>
          <w:ilvl w:val="0"/>
          <w:numId w:val="1"/>
        </w:numPr>
        <w:spacing w:after="120"/>
        <w:jc w:val="both"/>
        <w:rPr>
          <w:rFonts w:ascii="Bookman Old Style" w:hAnsi="Bookman Old Style"/>
          <w:sz w:val="22"/>
        </w:rPr>
      </w:pPr>
      <w:r w:rsidRPr="00B3335F">
        <w:rPr>
          <w:rFonts w:ascii="Bookman Old Style" w:hAnsi="Bookman Old Style"/>
          <w:b/>
          <w:sz w:val="22"/>
        </w:rPr>
        <w:t>Липсата на рекултивация след изграждането на държавни/общински инфраструктурни проекти</w:t>
      </w:r>
      <w:r w:rsidRPr="00B3335F">
        <w:rPr>
          <w:rFonts w:ascii="Bookman Old Style" w:hAnsi="Bookman Old Style"/>
          <w:sz w:val="22"/>
        </w:rPr>
        <w:t>.</w:t>
      </w:r>
    </w:p>
    <w:p w14:paraId="265C4D7E" w14:textId="77777777" w:rsidR="00311C54" w:rsidRPr="00B3335F" w:rsidRDefault="00B51346" w:rsidP="00B51346">
      <w:pPr>
        <w:spacing w:after="120"/>
        <w:ind w:firstLine="426"/>
        <w:jc w:val="both"/>
        <w:rPr>
          <w:rFonts w:ascii="Bookman Old Style" w:hAnsi="Bookman Old Style"/>
          <w:sz w:val="22"/>
        </w:rPr>
      </w:pPr>
      <w:r w:rsidRPr="00B3335F">
        <w:rPr>
          <w:rFonts w:ascii="Bookman Old Style" w:hAnsi="Bookman Old Style"/>
          <w:sz w:val="22"/>
        </w:rPr>
        <w:t xml:space="preserve">Специално внимание г-н Стайков отдели на темата за </w:t>
      </w:r>
      <w:r w:rsidRPr="00B3335F">
        <w:rPr>
          <w:rFonts w:ascii="Bookman Old Style" w:hAnsi="Bookman Old Style"/>
          <w:b/>
          <w:sz w:val="22"/>
        </w:rPr>
        <w:t>ролята на селскостопанската наука</w:t>
      </w:r>
      <w:r w:rsidRPr="00B3335F">
        <w:rPr>
          <w:rFonts w:ascii="Bookman Old Style" w:hAnsi="Bookman Old Style"/>
          <w:sz w:val="22"/>
        </w:rPr>
        <w:t xml:space="preserve"> за развитието на модерно земеделие у нас. Председателят на БАСЗЗ бе категоричен, че науката трябва да бъде изведена като държавен приоритет – да бъдат значително увеличени публичните разходи за научно-изследователска и развойна дейност, и осезаемо да се увеличи заплащането на труда на заетите с научна и преподавателска дейност, което ще направи научния сектор по-привлекателен за младите хора. Според Стайко Стайков, трябва да се подобри и защитата на интелектуалната собственост, вкл. по отношение изплащането на роялти от внедрени в практиката патенти, иновации, сортове и хибриди.</w:t>
      </w:r>
    </w:p>
    <w:p w14:paraId="3E1595E4" w14:textId="77777777" w:rsidR="000053DB" w:rsidRPr="00B3335F" w:rsidRDefault="000053DB" w:rsidP="00B51346">
      <w:pPr>
        <w:spacing w:after="120"/>
        <w:ind w:firstLine="426"/>
        <w:jc w:val="both"/>
        <w:rPr>
          <w:rFonts w:ascii="Bookman Old Style" w:hAnsi="Bookman Old Style"/>
          <w:sz w:val="22"/>
        </w:rPr>
      </w:pPr>
      <w:r w:rsidRPr="00B3335F">
        <w:rPr>
          <w:rFonts w:ascii="Bookman Old Style" w:hAnsi="Bookman Old Style"/>
          <w:sz w:val="22"/>
        </w:rPr>
        <w:t xml:space="preserve">По отношение на </w:t>
      </w:r>
      <w:r w:rsidRPr="00B3335F">
        <w:rPr>
          <w:rFonts w:ascii="Bookman Old Style" w:hAnsi="Bookman Old Style"/>
          <w:b/>
          <w:sz w:val="22"/>
        </w:rPr>
        <w:t>тенденциите при пазара на земеделската земя</w:t>
      </w:r>
      <w:r w:rsidRPr="00B3335F">
        <w:rPr>
          <w:rFonts w:ascii="Bookman Old Style" w:hAnsi="Bookman Old Style"/>
          <w:sz w:val="22"/>
        </w:rPr>
        <w:t>, Стайко Стайков отбеляза, че той е стабилен и прогнозируем, ръстът на покупните цени е по-голям от инфлацията, като липсва предлагане на първичен пазар. Налице е устойчив интерес за покупка на качествена и уедрена земеделска земя на вторичния пазар. В допълнение, съществува известна несигурност, свързана с войната в Украйна, последствията от Ковид-19 и новите изисквания в ОСП на ЕС 2023-2027 г.</w:t>
      </w:r>
    </w:p>
    <w:p w14:paraId="5D2431BB" w14:textId="77777777" w:rsidR="0038794B" w:rsidRPr="00B3335F" w:rsidRDefault="0038794B" w:rsidP="0038794B">
      <w:pPr>
        <w:spacing w:after="120"/>
        <w:ind w:firstLine="426"/>
        <w:jc w:val="both"/>
        <w:rPr>
          <w:rFonts w:ascii="Bookman Old Style" w:hAnsi="Bookman Old Style"/>
          <w:sz w:val="22"/>
        </w:rPr>
      </w:pPr>
      <w:r w:rsidRPr="00B3335F">
        <w:rPr>
          <w:rFonts w:ascii="Bookman Old Style" w:hAnsi="Bookman Old Style"/>
          <w:color w:val="000000" w:themeColor="text1"/>
          <w:sz w:val="22"/>
        </w:rPr>
        <w:t>През последните 12 години средните цени на земеделската земя са с устойчив темп на поскъпване</w:t>
      </w:r>
      <w:r w:rsidR="00664335" w:rsidRPr="00B3335F">
        <w:rPr>
          <w:rFonts w:ascii="Bookman Old Style" w:hAnsi="Bookman Old Style"/>
          <w:color w:val="000000" w:themeColor="text1"/>
          <w:sz w:val="22"/>
        </w:rPr>
        <w:t xml:space="preserve"> </w:t>
      </w:r>
      <w:r w:rsidRPr="00B3335F">
        <w:rPr>
          <w:rFonts w:ascii="Bookman Old Style" w:hAnsi="Bookman Old Style"/>
          <w:color w:val="000000" w:themeColor="text1"/>
          <w:sz w:val="22"/>
        </w:rPr>
        <w:t>– от 287 лв./дка през 2010 г. до 1787 лв./дка през 2022 г., а средните стойности на рентата са нараснали от 49 лв./дка през 2018 г. на 72 лв./дка през 2022 г.</w:t>
      </w:r>
      <w:r w:rsidRPr="00B3335F">
        <w:rPr>
          <w:rStyle w:val="FootnoteReference"/>
          <w:rFonts w:ascii="Bookman Old Style" w:hAnsi="Bookman Old Style"/>
          <w:color w:val="000000" w:themeColor="text1"/>
          <w:sz w:val="22"/>
        </w:rPr>
        <w:footnoteReference w:id="2"/>
      </w:r>
      <w:r w:rsidRPr="00B3335F">
        <w:rPr>
          <w:rFonts w:ascii="Bookman Old Style" w:hAnsi="Bookman Old Style"/>
          <w:color w:val="000000" w:themeColor="text1"/>
          <w:sz w:val="22"/>
        </w:rPr>
        <w:t xml:space="preserve"> Това се дължи основно на ниските им нива след възстановяването на земеделската земя в реални граници. Прогнозата на БАСЗЗ е, че пазарът ще остане стабилен, но цената на актива ще зависи от развитието на конфликта в Украйна, възстановяването на веригите за доставки, реколтата, цената на енергийните ресурси, семената, торовете, препаратите и т.н. „</w:t>
      </w:r>
      <w:r w:rsidRPr="00B3335F">
        <w:rPr>
          <w:rFonts w:ascii="Bookman Old Style" w:hAnsi="Bookman Old Style"/>
          <w:i/>
          <w:color w:val="000000" w:themeColor="text1"/>
          <w:sz w:val="22"/>
        </w:rPr>
        <w:t xml:space="preserve">Земеделските </w:t>
      </w:r>
      <w:r w:rsidRPr="00B3335F">
        <w:rPr>
          <w:rFonts w:ascii="Bookman Old Style" w:hAnsi="Bookman Old Style"/>
          <w:i/>
          <w:sz w:val="22"/>
        </w:rPr>
        <w:t>производители се убедиха в предимството да обработват собствена земя и се превърнаха в основни купувачи, затова все по-важна роля ще има вторичният пазар на земеделска земя. Ако има увеличение на цената на актива, очаквам да бъде не повече от 10%</w:t>
      </w:r>
      <w:r w:rsidRPr="00B3335F">
        <w:rPr>
          <w:rFonts w:ascii="Bookman Old Style" w:hAnsi="Bookman Old Style"/>
          <w:sz w:val="22"/>
        </w:rPr>
        <w:t>“, прогнозира Стайко Стайков.</w:t>
      </w:r>
    </w:p>
    <w:p w14:paraId="5094ADF9" w14:textId="77777777" w:rsidR="0076317E" w:rsidRPr="00B3335F" w:rsidRDefault="0076317E" w:rsidP="006F1855">
      <w:pPr>
        <w:pStyle w:val="Heading1"/>
      </w:pPr>
      <w:bookmarkStart w:id="2" w:name="_Toc137200641"/>
      <w:r w:rsidRPr="00B3335F">
        <w:lastRenderedPageBreak/>
        <w:t>Проблеми със собствеността и отдаването за ползване на земеделски земи</w:t>
      </w:r>
      <w:bookmarkEnd w:id="2"/>
    </w:p>
    <w:p w14:paraId="72E2F788" w14:textId="77777777" w:rsidR="00FB32CA" w:rsidRPr="00501E05" w:rsidRDefault="00B51346" w:rsidP="00FB32CA">
      <w:pPr>
        <w:spacing w:after="120"/>
        <w:ind w:firstLine="426"/>
        <w:jc w:val="both"/>
        <w:rPr>
          <w:rFonts w:ascii="Bookman Old Style" w:hAnsi="Bookman Old Style"/>
          <w:sz w:val="22"/>
          <w:szCs w:val="22"/>
        </w:rPr>
      </w:pPr>
      <w:r w:rsidRPr="00501E05">
        <w:rPr>
          <w:rFonts w:ascii="Bookman Old Style" w:hAnsi="Bookman Old Style"/>
          <w:b/>
          <w:sz w:val="22"/>
          <w:szCs w:val="22"/>
          <w:u w:val="single"/>
        </w:rPr>
        <w:t>Евгений Орашъков</w:t>
      </w:r>
      <w:r w:rsidRPr="00501E05">
        <w:rPr>
          <w:rFonts w:ascii="Bookman Old Style" w:hAnsi="Bookman Old Style"/>
          <w:sz w:val="22"/>
          <w:szCs w:val="22"/>
        </w:rPr>
        <w:t>, член на УС на БАСЗЗ, представи проблемите при прилагането на нормативната уредба, касаещи собствеността и отдаването за ползване на земеделската земя</w:t>
      </w:r>
      <w:r w:rsidR="00FB32CA" w:rsidRPr="00501E05">
        <w:rPr>
          <w:rFonts w:ascii="Bookman Old Style" w:hAnsi="Bookman Old Style"/>
          <w:sz w:val="22"/>
          <w:szCs w:val="22"/>
        </w:rPr>
        <w:t xml:space="preserve"> и, по-конкретно </w:t>
      </w:r>
      <w:r w:rsidR="00FC06E4" w:rsidRPr="00501E05">
        <w:rPr>
          <w:rFonts w:ascii="Bookman Old Style" w:hAnsi="Bookman Old Style"/>
          <w:sz w:val="22"/>
          <w:szCs w:val="22"/>
        </w:rPr>
        <w:t>–</w:t>
      </w:r>
      <w:r w:rsidR="00FB32CA" w:rsidRPr="00501E05">
        <w:rPr>
          <w:rFonts w:ascii="Bookman Old Style" w:hAnsi="Bookman Old Style"/>
          <w:sz w:val="22"/>
          <w:szCs w:val="22"/>
        </w:rPr>
        <w:t xml:space="preserve"> проблеми</w:t>
      </w:r>
      <w:r w:rsidR="00FC06E4" w:rsidRPr="00501E05">
        <w:rPr>
          <w:rFonts w:ascii="Bookman Old Style" w:hAnsi="Bookman Old Style"/>
          <w:sz w:val="22"/>
          <w:szCs w:val="22"/>
        </w:rPr>
        <w:t xml:space="preserve"> </w:t>
      </w:r>
      <w:r w:rsidR="00FB32CA" w:rsidRPr="00501E05">
        <w:rPr>
          <w:rFonts w:ascii="Bookman Old Style" w:hAnsi="Bookman Old Style"/>
          <w:sz w:val="22"/>
          <w:szCs w:val="22"/>
        </w:rPr>
        <w:t xml:space="preserve">при прилагането на Кадастралната </w:t>
      </w:r>
      <w:r w:rsidR="00FB32CA" w:rsidRPr="00501E05">
        <w:rPr>
          <w:rFonts w:ascii="Bookman Old Style" w:hAnsi="Bookman Old Style"/>
          <w:sz w:val="22"/>
          <w:szCs w:val="22"/>
        </w:rPr>
        <w:br/>
        <w:t>карта и кадастралния регистър (КККР)</w:t>
      </w:r>
      <w:r w:rsidRPr="00501E05">
        <w:rPr>
          <w:rFonts w:ascii="Bookman Old Style" w:hAnsi="Bookman Old Style"/>
          <w:sz w:val="22"/>
          <w:szCs w:val="22"/>
        </w:rPr>
        <w:t xml:space="preserve">. Той отбеляза, че площта със селскостопанско значение в България е 52.3 </w:t>
      </w:r>
      <w:r w:rsidR="00387C50" w:rsidRPr="00501E05">
        <w:rPr>
          <w:rFonts w:ascii="Bookman Old Style" w:hAnsi="Bookman Old Style"/>
          <w:sz w:val="22"/>
          <w:szCs w:val="22"/>
        </w:rPr>
        <w:t>млн.</w:t>
      </w:r>
      <w:r w:rsidRPr="00501E05">
        <w:rPr>
          <w:rFonts w:ascii="Bookman Old Style" w:hAnsi="Bookman Old Style"/>
          <w:sz w:val="22"/>
          <w:szCs w:val="22"/>
        </w:rPr>
        <w:t xml:space="preserve"> декара (което е 47% от територията на страната), а обработваемата земя е 34.9 </w:t>
      </w:r>
      <w:r w:rsidR="00200AE7" w:rsidRPr="00501E05">
        <w:rPr>
          <w:rFonts w:ascii="Bookman Old Style" w:hAnsi="Bookman Old Style"/>
          <w:sz w:val="22"/>
          <w:szCs w:val="22"/>
        </w:rPr>
        <w:t>млн.</w:t>
      </w:r>
      <w:r w:rsidRPr="00501E05">
        <w:rPr>
          <w:rFonts w:ascii="Bookman Old Style" w:hAnsi="Bookman Old Style"/>
          <w:sz w:val="22"/>
          <w:szCs w:val="22"/>
        </w:rPr>
        <w:t xml:space="preserve"> декара</w:t>
      </w:r>
      <w:r w:rsidR="00FB32CA" w:rsidRPr="00501E05">
        <w:rPr>
          <w:rFonts w:ascii="Bookman Old Style" w:hAnsi="Bookman Old Style"/>
          <w:sz w:val="22"/>
          <w:szCs w:val="22"/>
        </w:rPr>
        <w:t xml:space="preserve">. При средна площ от 6.24 дка на земеделски имот, се получават над 9 </w:t>
      </w:r>
      <w:r w:rsidR="00387C50" w:rsidRPr="00501E05">
        <w:rPr>
          <w:rFonts w:ascii="Bookman Old Style" w:hAnsi="Bookman Old Style"/>
          <w:sz w:val="22"/>
          <w:szCs w:val="22"/>
        </w:rPr>
        <w:t>млн.</w:t>
      </w:r>
      <w:r w:rsidR="00FB32CA" w:rsidRPr="00501E05">
        <w:rPr>
          <w:rFonts w:ascii="Bookman Old Style" w:hAnsi="Bookman Old Style"/>
          <w:sz w:val="22"/>
          <w:szCs w:val="22"/>
        </w:rPr>
        <w:t xml:space="preserve"> имота, като има устойчива тенденция за намаляване на средния размер на земеделския имот, което се дължи главно на делби между собственици. </w:t>
      </w:r>
    </w:p>
    <w:p w14:paraId="083F0097" w14:textId="77777777" w:rsidR="00FB32CA" w:rsidRPr="00501E05" w:rsidRDefault="005600E8" w:rsidP="00FB32CA">
      <w:pPr>
        <w:spacing w:after="120"/>
        <w:ind w:firstLine="426"/>
        <w:jc w:val="both"/>
        <w:rPr>
          <w:rFonts w:ascii="Bookman Old Style" w:hAnsi="Bookman Old Style"/>
          <w:sz w:val="22"/>
          <w:szCs w:val="22"/>
        </w:rPr>
      </w:pPr>
      <w:r w:rsidRPr="00501E05">
        <w:rPr>
          <w:rFonts w:ascii="Bookman Old Style" w:hAnsi="Bookman Old Style"/>
          <w:sz w:val="22"/>
          <w:szCs w:val="22"/>
        </w:rPr>
        <w:t xml:space="preserve">Г-н Орашъков подчерта, че </w:t>
      </w:r>
      <w:r w:rsidR="00FB32CA" w:rsidRPr="00501E05">
        <w:rPr>
          <w:rFonts w:ascii="Bookman Old Style" w:hAnsi="Bookman Old Style"/>
          <w:sz w:val="22"/>
          <w:szCs w:val="22"/>
        </w:rPr>
        <w:t xml:space="preserve">БАСЗЗ е изготвила и изпратила </w:t>
      </w:r>
      <w:hyperlink r:id="rId8" w:history="1">
        <w:r w:rsidR="00FB32CA" w:rsidRPr="00501E05">
          <w:rPr>
            <w:rStyle w:val="Hyperlink"/>
            <w:rFonts w:ascii="Bookman Old Style" w:hAnsi="Bookman Old Style"/>
            <w:sz w:val="22"/>
            <w:szCs w:val="22"/>
          </w:rPr>
          <w:t>становище</w:t>
        </w:r>
      </w:hyperlink>
      <w:r w:rsidR="00FB32CA" w:rsidRPr="00501E05">
        <w:rPr>
          <w:rFonts w:ascii="Bookman Old Style" w:hAnsi="Bookman Old Style"/>
          <w:sz w:val="22"/>
          <w:szCs w:val="22"/>
        </w:rPr>
        <w:t xml:space="preserve"> до компетентните институции, в лицето на КЗХГ към НС, МЗм, МРРБ, МП и Омбудсмана.</w:t>
      </w:r>
    </w:p>
    <w:p w14:paraId="74064EC9" w14:textId="77777777" w:rsidR="00FB32CA" w:rsidRPr="00501E05" w:rsidRDefault="00FB32CA" w:rsidP="00FB32CA">
      <w:pPr>
        <w:spacing w:after="120"/>
        <w:ind w:firstLine="426"/>
        <w:jc w:val="both"/>
        <w:rPr>
          <w:rFonts w:ascii="Bookman Old Style" w:hAnsi="Bookman Old Style"/>
          <w:sz w:val="22"/>
          <w:szCs w:val="22"/>
        </w:rPr>
      </w:pPr>
      <w:r w:rsidRPr="00501E05">
        <w:rPr>
          <w:rFonts w:ascii="Bookman Old Style" w:hAnsi="Bookman Old Style"/>
          <w:sz w:val="22"/>
          <w:szCs w:val="22"/>
        </w:rPr>
        <w:t>Проблемите при прилагането на КККР са в три основни насоки:</w:t>
      </w:r>
    </w:p>
    <w:p w14:paraId="31095C1F" w14:textId="77777777" w:rsidR="00FB32CA" w:rsidRPr="00501E05" w:rsidRDefault="00FB32CA" w:rsidP="00FB32CA">
      <w:pPr>
        <w:pStyle w:val="ListParagraph"/>
        <w:numPr>
          <w:ilvl w:val="0"/>
          <w:numId w:val="4"/>
        </w:numPr>
        <w:spacing w:after="120"/>
        <w:ind w:left="709" w:hanging="283"/>
        <w:jc w:val="both"/>
        <w:rPr>
          <w:rFonts w:ascii="Bookman Old Style" w:hAnsi="Bookman Old Style"/>
          <w:sz w:val="22"/>
          <w:szCs w:val="22"/>
        </w:rPr>
      </w:pPr>
      <w:r w:rsidRPr="00501E05">
        <w:rPr>
          <w:rFonts w:ascii="Bookman Old Style" w:hAnsi="Bookman Old Style"/>
          <w:b/>
          <w:sz w:val="22"/>
          <w:szCs w:val="22"/>
        </w:rPr>
        <w:t>Преобразуване на Картата на възстановената собственост (КВС) в КККР:</w:t>
      </w:r>
      <w:r w:rsidRPr="00501E05">
        <w:rPr>
          <w:rFonts w:ascii="Bookman Old Style" w:hAnsi="Bookman Old Style"/>
          <w:sz w:val="22"/>
          <w:szCs w:val="22"/>
        </w:rPr>
        <w:t xml:space="preserve"> Прехвърлят се неточности от картите, създадени при възстановяване на собствеността на земеделските земи, в Кадастралната карта, водещи до застъпвания и разминаване на имотите. При разминаване на площите собственикът не получава информация за извършената промяна, което води до невъзможност да се обжалва издадената заповед. </w:t>
      </w:r>
    </w:p>
    <w:p w14:paraId="4F1FE8B4" w14:textId="77777777" w:rsidR="00FB32CA" w:rsidRPr="00501E05" w:rsidRDefault="00FB32CA" w:rsidP="00FB32CA">
      <w:pPr>
        <w:spacing w:after="120"/>
        <w:ind w:left="709"/>
        <w:jc w:val="both"/>
        <w:rPr>
          <w:rFonts w:ascii="Bookman Old Style" w:hAnsi="Bookman Old Style"/>
          <w:sz w:val="22"/>
          <w:szCs w:val="22"/>
        </w:rPr>
      </w:pPr>
      <w:r w:rsidRPr="00501E05">
        <w:rPr>
          <w:rFonts w:ascii="Bookman Old Style" w:hAnsi="Bookman Old Style"/>
          <w:sz w:val="22"/>
          <w:szCs w:val="22"/>
        </w:rPr>
        <w:t>БАСЗЗ предлага да залегнат ясно разписани норми на уведомяване и обезщетяване на собствениците на база пазарната цена на имотите.</w:t>
      </w:r>
    </w:p>
    <w:p w14:paraId="162F1A42" w14:textId="77777777" w:rsidR="00FB32CA" w:rsidRPr="00501E05" w:rsidRDefault="00FB32CA" w:rsidP="00FB32CA">
      <w:pPr>
        <w:pStyle w:val="ListParagraph"/>
        <w:numPr>
          <w:ilvl w:val="0"/>
          <w:numId w:val="4"/>
        </w:numPr>
        <w:spacing w:after="120"/>
        <w:ind w:left="709" w:hanging="283"/>
        <w:jc w:val="both"/>
        <w:rPr>
          <w:rFonts w:ascii="Bookman Old Style" w:hAnsi="Bookman Old Style"/>
          <w:sz w:val="22"/>
          <w:szCs w:val="22"/>
        </w:rPr>
      </w:pPr>
      <w:r w:rsidRPr="00501E05">
        <w:rPr>
          <w:rFonts w:ascii="Bookman Old Style" w:hAnsi="Bookman Old Style"/>
          <w:b/>
          <w:sz w:val="22"/>
          <w:szCs w:val="22"/>
        </w:rPr>
        <w:t>Обезщетяване при принудително отчуждаване</w:t>
      </w:r>
      <w:r w:rsidRPr="00501E05">
        <w:rPr>
          <w:rFonts w:ascii="Bookman Old Style" w:hAnsi="Bookman Old Style"/>
          <w:sz w:val="22"/>
          <w:szCs w:val="22"/>
        </w:rPr>
        <w:t xml:space="preserve"> </w:t>
      </w:r>
      <w:r w:rsidRPr="00501E05">
        <w:rPr>
          <w:rFonts w:ascii="Bookman Old Style" w:hAnsi="Bookman Old Style"/>
          <w:b/>
          <w:sz w:val="22"/>
          <w:szCs w:val="22"/>
        </w:rPr>
        <w:t>на земеделските имоти или части от тях за държавни и общински нужди:</w:t>
      </w:r>
      <w:r w:rsidRPr="00501E05">
        <w:rPr>
          <w:rFonts w:ascii="Bookman Old Style" w:hAnsi="Bookman Old Style"/>
          <w:sz w:val="22"/>
          <w:szCs w:val="22"/>
        </w:rPr>
        <w:t xml:space="preserve"> Обезщетенията се движат между 39 и 78% от покупната цена на имота, като това не е пазарната цена към момента на плащането на обезщетението, т.е. момента, в които може да се закупи равностоен заместващ имот. Текущият режим на „равностойно парично обезщетение“ е тромав и неефективен – референтните сделки за определяне на цените са за стар период, собственикът с отчужден имот трябва да представи редица документи, за които да плати, пътува и вложи време да изкара необходимите документи. Ако собственикът реши да обжалва, допълнително се добавят съдебни разноски, депозити за вещи лица, разходи за процесуално представителство. </w:t>
      </w:r>
    </w:p>
    <w:p w14:paraId="280F19CA" w14:textId="77777777" w:rsidR="00FB32CA" w:rsidRPr="00501E05" w:rsidRDefault="00FB32CA" w:rsidP="00FB32CA">
      <w:pPr>
        <w:spacing w:after="120"/>
        <w:ind w:left="709"/>
        <w:jc w:val="both"/>
        <w:rPr>
          <w:rFonts w:ascii="Bookman Old Style" w:hAnsi="Bookman Old Style"/>
          <w:sz w:val="22"/>
          <w:szCs w:val="22"/>
        </w:rPr>
      </w:pPr>
      <w:r w:rsidRPr="00501E05">
        <w:rPr>
          <w:rFonts w:ascii="Bookman Old Style" w:hAnsi="Bookman Old Style"/>
          <w:sz w:val="22"/>
          <w:szCs w:val="22"/>
        </w:rPr>
        <w:t>БАСЗЗ счита, че е необходимо да се преуредят правилата за изчисляване и определяне размера на обезщетенията до нива, адекватни на реалните пазарни условия. Редно е при несъгласие с определеното обезщетение на собствениците на земеделска земя да бъде предоставена земя от Държавния или Общинския поземлен фонд. Необходимо е при принудително отчуждаване да се освободят собствениците от заплащане на административни разходи по прехвърляне, а държавата и общините да се снабдяват с необходимите документи служебно.</w:t>
      </w:r>
    </w:p>
    <w:p w14:paraId="665D1C9E" w14:textId="77777777" w:rsidR="00FB32CA" w:rsidRPr="00501E05" w:rsidRDefault="00FB32CA" w:rsidP="00FB32CA">
      <w:pPr>
        <w:pStyle w:val="ListParagraph"/>
        <w:numPr>
          <w:ilvl w:val="0"/>
          <w:numId w:val="4"/>
        </w:numPr>
        <w:spacing w:after="120"/>
        <w:ind w:left="709" w:hanging="283"/>
        <w:jc w:val="both"/>
        <w:rPr>
          <w:rFonts w:ascii="Bookman Old Style" w:hAnsi="Bookman Old Style"/>
          <w:sz w:val="22"/>
          <w:szCs w:val="22"/>
        </w:rPr>
      </w:pPr>
      <w:r w:rsidRPr="00501E05">
        <w:rPr>
          <w:rFonts w:ascii="Bookman Old Style" w:hAnsi="Bookman Old Style"/>
          <w:b/>
          <w:sz w:val="22"/>
          <w:szCs w:val="22"/>
        </w:rPr>
        <w:t>Ред за учредяване на сервитути</w:t>
      </w:r>
      <w:r w:rsidRPr="00501E05">
        <w:rPr>
          <w:rFonts w:ascii="Bookman Old Style" w:hAnsi="Bookman Old Style"/>
          <w:sz w:val="22"/>
          <w:szCs w:val="22"/>
        </w:rPr>
        <w:t xml:space="preserve"> </w:t>
      </w:r>
      <w:r w:rsidRPr="00501E05">
        <w:rPr>
          <w:rFonts w:ascii="Bookman Old Style" w:hAnsi="Bookman Old Style"/>
          <w:b/>
          <w:sz w:val="22"/>
          <w:szCs w:val="22"/>
        </w:rPr>
        <w:t>върху земеделска земя</w:t>
      </w:r>
      <w:r w:rsidRPr="00501E05">
        <w:rPr>
          <w:rFonts w:ascii="Bookman Old Style" w:hAnsi="Bookman Old Style"/>
          <w:sz w:val="22"/>
          <w:szCs w:val="22"/>
        </w:rPr>
        <w:t>: Проблемът при принудително отчуждаване се дублира и при учредяване на сервитути върху земеделската земя. При наличието на заварен договор за наем или аренда собственикът дължи на ползвателя обезщетения за увредената реколта, за което собственикът няма вина.</w:t>
      </w:r>
    </w:p>
    <w:p w14:paraId="1D1FC91E" w14:textId="77777777" w:rsidR="00FB32CA" w:rsidRPr="00501E05" w:rsidRDefault="00FB32CA" w:rsidP="00FB32CA">
      <w:pPr>
        <w:spacing w:after="120"/>
        <w:ind w:left="709"/>
        <w:jc w:val="both"/>
        <w:rPr>
          <w:rFonts w:ascii="Bookman Old Style" w:hAnsi="Bookman Old Style"/>
          <w:sz w:val="22"/>
          <w:szCs w:val="22"/>
        </w:rPr>
      </w:pPr>
      <w:r w:rsidRPr="00501E05">
        <w:rPr>
          <w:rFonts w:ascii="Bookman Old Style" w:hAnsi="Bookman Old Style"/>
          <w:sz w:val="22"/>
          <w:szCs w:val="22"/>
        </w:rPr>
        <w:lastRenderedPageBreak/>
        <w:t>Необходимо е да бъде решен въпросът с рекултивацията на засегнатите имоти – при строителство се нарушава хумусният слой на почвата, оставят се строителни отпадъци, които стоят с години, възпрепятства се ползването на имотите от ползвателите.</w:t>
      </w:r>
    </w:p>
    <w:p w14:paraId="67735711" w14:textId="77777777" w:rsidR="0076317E" w:rsidRPr="00B3335F" w:rsidRDefault="000053DB" w:rsidP="006F1855">
      <w:pPr>
        <w:pStyle w:val="Heading1"/>
      </w:pPr>
      <w:bookmarkStart w:id="3" w:name="_Toc137200642"/>
      <w:r w:rsidRPr="00B3335F">
        <w:t xml:space="preserve">Европейските политики </w:t>
      </w:r>
      <w:r w:rsidRPr="00B3335F">
        <w:br/>
        <w:t>в областта на земеделието</w:t>
      </w:r>
      <w:bookmarkEnd w:id="3"/>
    </w:p>
    <w:p w14:paraId="5B8B2B10" w14:textId="080B956E" w:rsidR="003E556B" w:rsidRPr="00501E05" w:rsidRDefault="0076317E" w:rsidP="00501E05">
      <w:pPr>
        <w:spacing w:after="120"/>
        <w:ind w:firstLine="425"/>
        <w:jc w:val="both"/>
        <w:rPr>
          <w:rFonts w:ascii="Bookman Old Style" w:hAnsi="Bookman Old Style"/>
          <w:sz w:val="22"/>
          <w:szCs w:val="22"/>
        </w:rPr>
      </w:pPr>
      <w:r w:rsidRPr="00501E05">
        <w:rPr>
          <w:rFonts w:ascii="Bookman Old Style" w:hAnsi="Bookman Old Style"/>
          <w:sz w:val="22"/>
          <w:szCs w:val="22"/>
        </w:rPr>
        <w:t>Галина Пейчева-Митева</w:t>
      </w:r>
      <w:r w:rsidR="00501E05">
        <w:rPr>
          <w:rFonts w:ascii="Bookman Old Style" w:hAnsi="Bookman Old Style"/>
          <w:sz w:val="22"/>
          <w:szCs w:val="22"/>
        </w:rPr>
        <w:t xml:space="preserve"> -</w:t>
      </w:r>
      <w:r w:rsidRPr="00501E05">
        <w:rPr>
          <w:rFonts w:ascii="Bookman Old Style" w:hAnsi="Bookman Old Style"/>
          <w:sz w:val="22"/>
          <w:szCs w:val="22"/>
        </w:rPr>
        <w:t xml:space="preserve"> </w:t>
      </w:r>
      <w:r w:rsidR="00D863FF" w:rsidRPr="00501E05">
        <w:rPr>
          <w:rFonts w:ascii="Bookman Old Style" w:hAnsi="Bookman Old Style"/>
          <w:sz w:val="22"/>
          <w:szCs w:val="22"/>
        </w:rPr>
        <w:t xml:space="preserve">член на </w:t>
      </w:r>
      <w:r w:rsidRPr="00501E05">
        <w:rPr>
          <w:rFonts w:ascii="Bookman Old Style" w:hAnsi="Bookman Old Style"/>
          <w:sz w:val="22"/>
          <w:szCs w:val="22"/>
        </w:rPr>
        <w:t xml:space="preserve">БАСЗЗ </w:t>
      </w:r>
      <w:r w:rsidR="00501E05">
        <w:rPr>
          <w:rFonts w:ascii="Bookman Old Style" w:hAnsi="Bookman Old Style"/>
          <w:sz w:val="22"/>
          <w:szCs w:val="22"/>
        </w:rPr>
        <w:t>и</w:t>
      </w:r>
      <w:r w:rsidRPr="00501E05">
        <w:rPr>
          <w:rFonts w:ascii="Bookman Old Style" w:hAnsi="Bookman Old Style"/>
          <w:sz w:val="22"/>
          <w:szCs w:val="22"/>
        </w:rPr>
        <w:t xml:space="preserve"> </w:t>
      </w:r>
      <w:r w:rsidR="001D67CC" w:rsidRPr="00501E05">
        <w:rPr>
          <w:rFonts w:ascii="Bookman Old Style" w:hAnsi="Bookman Old Style"/>
          <w:sz w:val="22"/>
          <w:szCs w:val="22"/>
          <w:highlight w:val="yellow"/>
        </w:rPr>
        <w:t>член</w:t>
      </w:r>
      <w:r w:rsidR="001D67CC" w:rsidRPr="00501E05">
        <w:rPr>
          <w:rFonts w:ascii="Bookman Old Style" w:hAnsi="Bookman Old Style"/>
          <w:sz w:val="22"/>
          <w:szCs w:val="22"/>
        </w:rPr>
        <w:t xml:space="preserve"> </w:t>
      </w:r>
      <w:r w:rsidR="00D863FF" w:rsidRPr="00501E05">
        <w:rPr>
          <w:rFonts w:ascii="Bookman Old Style" w:hAnsi="Bookman Old Style"/>
          <w:sz w:val="22"/>
          <w:szCs w:val="22"/>
        </w:rPr>
        <w:t xml:space="preserve">на Борда на директорите </w:t>
      </w:r>
      <w:r w:rsidR="00501E05">
        <w:rPr>
          <w:rFonts w:ascii="Bookman Old Style" w:hAnsi="Bookman Old Style"/>
          <w:sz w:val="22"/>
          <w:szCs w:val="22"/>
        </w:rPr>
        <w:t xml:space="preserve">на </w:t>
      </w:r>
      <w:r w:rsidRPr="00501E05">
        <w:rPr>
          <w:rFonts w:ascii="Bookman Old Style" w:hAnsi="Bookman Old Style"/>
          <w:sz w:val="22"/>
          <w:szCs w:val="22"/>
        </w:rPr>
        <w:t>Е</w:t>
      </w:r>
      <w:r w:rsidR="00D863FF" w:rsidRPr="00501E05">
        <w:rPr>
          <w:rFonts w:ascii="Bookman Old Style" w:hAnsi="Bookman Old Style"/>
          <w:sz w:val="22"/>
          <w:szCs w:val="22"/>
        </w:rPr>
        <w:t xml:space="preserve">вропейската организация на собствениците на земи </w:t>
      </w:r>
      <w:r w:rsidR="00501E05">
        <w:rPr>
          <w:rFonts w:ascii="Bookman Old Style" w:hAnsi="Bookman Old Style"/>
          <w:sz w:val="22"/>
          <w:szCs w:val="22"/>
        </w:rPr>
        <w:t>(</w:t>
      </w:r>
      <w:r w:rsidR="00501E05">
        <w:rPr>
          <w:rFonts w:ascii="Bookman Old Style" w:hAnsi="Bookman Old Style"/>
          <w:sz w:val="22"/>
          <w:szCs w:val="22"/>
          <w:lang w:val="en-US"/>
        </w:rPr>
        <w:t>ELO</w:t>
      </w:r>
      <w:r w:rsidR="00501E05">
        <w:rPr>
          <w:rFonts w:ascii="Bookman Old Style" w:hAnsi="Bookman Old Style"/>
          <w:sz w:val="22"/>
          <w:szCs w:val="22"/>
        </w:rPr>
        <w:t xml:space="preserve">), </w:t>
      </w:r>
      <w:r w:rsidR="00D863FF" w:rsidRPr="00501E05">
        <w:rPr>
          <w:rFonts w:ascii="Bookman Old Style" w:hAnsi="Bookman Old Style"/>
          <w:sz w:val="22"/>
          <w:szCs w:val="22"/>
        </w:rPr>
        <w:t>сподели, че на ниво Европейски съюз предстои обществено обсъждане на първия Закон за здравето на почвите.</w:t>
      </w:r>
      <w:r w:rsidR="003E556B" w:rsidRPr="00501E05">
        <w:rPr>
          <w:rFonts w:ascii="Bookman Old Style" w:hAnsi="Bookman Old Style"/>
          <w:sz w:val="22"/>
          <w:szCs w:val="22"/>
        </w:rPr>
        <w:t xml:space="preserve"> Така почвата ще получи същия правен статут като въздуха, водата и морската среда</w:t>
      </w:r>
      <w:r w:rsidR="003E556B" w:rsidRPr="00501E05">
        <w:rPr>
          <w:rStyle w:val="Emphasis"/>
          <w:rFonts w:ascii="Bookman Old Style" w:hAnsi="Bookman Old Style" w:cs="Arial"/>
          <w:color w:val="432813"/>
          <w:sz w:val="22"/>
          <w:szCs w:val="22"/>
          <w:shd w:val="clear" w:color="auto" w:fill="FFFFFF"/>
        </w:rPr>
        <w:t>.</w:t>
      </w:r>
      <w:r w:rsidR="00D863FF" w:rsidRPr="00501E05">
        <w:rPr>
          <w:rFonts w:ascii="Bookman Old Style" w:hAnsi="Bookman Old Style"/>
          <w:sz w:val="22"/>
          <w:szCs w:val="22"/>
        </w:rPr>
        <w:t xml:space="preserve"> </w:t>
      </w:r>
      <w:r w:rsidR="00DD3BB7" w:rsidRPr="00501E05">
        <w:rPr>
          <w:rFonts w:ascii="Bookman Old Style" w:hAnsi="Bookman Old Style"/>
          <w:sz w:val="22"/>
          <w:szCs w:val="22"/>
        </w:rPr>
        <w:t>Целта на закона е състоянието на почвата да бъде драстично подобрено до 2050 г., като преди това се направи оценка на въздействието. Очаква се Комисията да организира инициативи за „безплатно тестване на почвата“ на регионално ниво. Предвижда се разширяване на борбата с обезлесяването, ерозията и опустяването на земеделските земи, преработка на оборския тор и др.</w:t>
      </w:r>
      <w:r w:rsidR="00DD3BB7" w:rsidRPr="00501E05">
        <w:rPr>
          <w:rFonts w:ascii="Bookman Old Style" w:hAnsi="Bookman Old Style"/>
          <w:sz w:val="22"/>
          <w:szCs w:val="22"/>
          <w:lang w:val="en-US"/>
        </w:rPr>
        <w:t xml:space="preserve"> </w:t>
      </w:r>
      <w:r w:rsidR="00DD3BB7" w:rsidRPr="00501E05">
        <w:rPr>
          <w:rFonts w:ascii="Bookman Old Style" w:hAnsi="Bookman Old Style"/>
          <w:sz w:val="22"/>
          <w:szCs w:val="22"/>
        </w:rPr>
        <w:t>Ако Европейският парламент и държавите-членки се споразумеят, това ще бъде първият закон за защита на почвата в ЕС</w:t>
      </w:r>
      <w:r w:rsidR="003E556B" w:rsidRPr="00501E05">
        <w:rPr>
          <w:rFonts w:ascii="Bookman Old Style" w:hAnsi="Bookman Old Style"/>
          <w:sz w:val="22"/>
          <w:szCs w:val="22"/>
        </w:rPr>
        <w:t xml:space="preserve">. </w:t>
      </w:r>
    </w:p>
    <w:p w14:paraId="30D07F11" w14:textId="0BE91469" w:rsidR="00DD3BB7" w:rsidRPr="00501E05" w:rsidRDefault="00DD3BB7" w:rsidP="00501E05">
      <w:pPr>
        <w:spacing w:after="120"/>
        <w:ind w:firstLine="425"/>
        <w:jc w:val="both"/>
        <w:rPr>
          <w:rFonts w:ascii="Bookman Old Style" w:hAnsi="Bookman Old Style"/>
          <w:sz w:val="22"/>
          <w:szCs w:val="22"/>
        </w:rPr>
      </w:pPr>
      <w:r w:rsidRPr="00501E05">
        <w:rPr>
          <w:rFonts w:ascii="Bookman Old Style" w:hAnsi="Bookman Old Style"/>
          <w:sz w:val="22"/>
          <w:szCs w:val="22"/>
        </w:rPr>
        <w:t>Copa-Cogeca</w:t>
      </w:r>
      <w:r w:rsidR="00501E05">
        <w:rPr>
          <w:rFonts w:ascii="Bookman Old Style" w:hAnsi="Bookman Old Style"/>
          <w:sz w:val="22"/>
          <w:szCs w:val="22"/>
        </w:rPr>
        <w:t>,</w:t>
      </w:r>
      <w:r w:rsidRPr="00501E05">
        <w:rPr>
          <w:rFonts w:ascii="Bookman Old Style" w:hAnsi="Bookman Old Style"/>
          <w:sz w:val="22"/>
          <w:szCs w:val="22"/>
        </w:rPr>
        <w:t> </w:t>
      </w:r>
      <w:r w:rsidR="003E556B" w:rsidRPr="00501E05">
        <w:rPr>
          <w:rFonts w:ascii="Bookman Old Style" w:hAnsi="Bookman Old Style"/>
          <w:sz w:val="22"/>
          <w:szCs w:val="22"/>
        </w:rPr>
        <w:t>обаче</w:t>
      </w:r>
      <w:r w:rsidR="00501E05">
        <w:rPr>
          <w:rFonts w:ascii="Bookman Old Style" w:hAnsi="Bookman Old Style"/>
          <w:sz w:val="22"/>
          <w:szCs w:val="22"/>
        </w:rPr>
        <w:t>,</w:t>
      </w:r>
      <w:r w:rsidR="003E556B" w:rsidRPr="00501E05">
        <w:rPr>
          <w:rFonts w:ascii="Bookman Old Style" w:hAnsi="Bookman Old Style"/>
          <w:sz w:val="22"/>
          <w:szCs w:val="22"/>
        </w:rPr>
        <w:t xml:space="preserve"> </w:t>
      </w:r>
      <w:r w:rsidRPr="00501E05">
        <w:rPr>
          <w:rFonts w:ascii="Bookman Old Style" w:hAnsi="Bookman Old Style"/>
          <w:sz w:val="22"/>
          <w:szCs w:val="22"/>
        </w:rPr>
        <w:t>израз</w:t>
      </w:r>
      <w:r w:rsidR="003E556B" w:rsidRPr="00501E05">
        <w:rPr>
          <w:rFonts w:ascii="Bookman Old Style" w:hAnsi="Bookman Old Style"/>
          <w:sz w:val="22"/>
          <w:szCs w:val="22"/>
        </w:rPr>
        <w:t>ява</w:t>
      </w:r>
      <w:r w:rsidRPr="00501E05">
        <w:rPr>
          <w:rFonts w:ascii="Bookman Old Style" w:hAnsi="Bookman Old Style"/>
          <w:sz w:val="22"/>
          <w:szCs w:val="22"/>
        </w:rPr>
        <w:t xml:space="preserve"> загриженост относно плановете з</w:t>
      </w:r>
      <w:r w:rsidR="00501E05">
        <w:rPr>
          <w:rFonts w:ascii="Bookman Old Style" w:hAnsi="Bookman Old Style"/>
          <w:sz w:val="22"/>
          <w:szCs w:val="22"/>
        </w:rPr>
        <w:t>а подход към почвата в целия ЕС</w:t>
      </w:r>
      <w:r w:rsidRPr="00501E05">
        <w:rPr>
          <w:rFonts w:ascii="Bookman Old Style" w:hAnsi="Bookman Old Style"/>
          <w:sz w:val="22"/>
          <w:szCs w:val="22"/>
        </w:rPr>
        <w:t xml:space="preserve"> </w:t>
      </w:r>
      <w:r w:rsidR="003E556B" w:rsidRPr="00501E05">
        <w:rPr>
          <w:rFonts w:ascii="Bookman Old Style" w:hAnsi="Bookman Old Style"/>
          <w:sz w:val="22"/>
          <w:szCs w:val="22"/>
        </w:rPr>
        <w:t>и в свое становище, подкрепено от БАСЗЗ</w:t>
      </w:r>
      <w:r w:rsidR="00501E05">
        <w:rPr>
          <w:rFonts w:ascii="Bookman Old Style" w:hAnsi="Bookman Old Style"/>
          <w:sz w:val="22"/>
          <w:szCs w:val="22"/>
        </w:rPr>
        <w:t>,</w:t>
      </w:r>
      <w:r w:rsidR="003E556B" w:rsidRPr="00501E05">
        <w:rPr>
          <w:rFonts w:ascii="Bookman Old Style" w:hAnsi="Bookman Old Style"/>
          <w:sz w:val="22"/>
          <w:szCs w:val="22"/>
        </w:rPr>
        <w:t xml:space="preserve"> посочва</w:t>
      </w:r>
      <w:r w:rsidRPr="00501E05">
        <w:rPr>
          <w:rFonts w:ascii="Bookman Old Style" w:hAnsi="Bookman Old Style"/>
          <w:sz w:val="22"/>
          <w:szCs w:val="22"/>
        </w:rPr>
        <w:t>, че характеристиките на почвата са много различни във всяка една страна в ЕС, което затруднява дефинирането на общ подход</w:t>
      </w:r>
      <w:r w:rsidR="003E556B" w:rsidRPr="00501E05">
        <w:rPr>
          <w:rFonts w:ascii="Bookman Old Style" w:hAnsi="Bookman Old Style"/>
          <w:sz w:val="22"/>
          <w:szCs w:val="22"/>
        </w:rPr>
        <w:t xml:space="preserve">, затова е необходима </w:t>
      </w:r>
      <w:r w:rsidRPr="00501E05">
        <w:rPr>
          <w:rFonts w:ascii="Bookman Old Style" w:hAnsi="Bookman Old Style"/>
          <w:sz w:val="22"/>
          <w:szCs w:val="22"/>
        </w:rPr>
        <w:t>повече яснота относно това как включването на нови мерки, като например</w:t>
      </w:r>
      <w:r w:rsidR="00501E05">
        <w:rPr>
          <w:rFonts w:ascii="Bookman Old Style" w:hAnsi="Bookman Old Style"/>
          <w:sz w:val="22"/>
          <w:szCs w:val="22"/>
        </w:rPr>
        <w:t>, Закона за здравето на почвите</w:t>
      </w:r>
      <w:r w:rsidRPr="00501E05">
        <w:rPr>
          <w:rFonts w:ascii="Bookman Old Style" w:hAnsi="Bookman Old Style"/>
          <w:sz w:val="22"/>
          <w:szCs w:val="22"/>
        </w:rPr>
        <w:t xml:space="preserve"> ще допълни съществуващите инструменти, които вече имат пряко и косвено</w:t>
      </w:r>
      <w:r w:rsidR="003E556B" w:rsidRPr="00501E05">
        <w:rPr>
          <w:rFonts w:ascii="Bookman Old Style" w:hAnsi="Bookman Old Style"/>
          <w:sz w:val="22"/>
          <w:szCs w:val="22"/>
        </w:rPr>
        <w:t xml:space="preserve"> </w:t>
      </w:r>
      <w:r w:rsidRPr="00501E05">
        <w:rPr>
          <w:rFonts w:ascii="Bookman Old Style" w:hAnsi="Bookman Old Style"/>
          <w:sz w:val="22"/>
          <w:szCs w:val="22"/>
        </w:rPr>
        <w:t>въздействие върху здравето на почвите, като Общата селскостопанска политика (ОСП) и Директива за нитратите.</w:t>
      </w:r>
      <w:r w:rsidR="003E556B" w:rsidRPr="00501E05">
        <w:rPr>
          <w:rFonts w:ascii="Bookman Old Style" w:hAnsi="Bookman Old Style"/>
          <w:sz w:val="22"/>
          <w:szCs w:val="22"/>
        </w:rPr>
        <w:t xml:space="preserve"> </w:t>
      </w:r>
    </w:p>
    <w:p w14:paraId="4EE018D7" w14:textId="0808EE7D" w:rsidR="00FB32CA" w:rsidRPr="00501E05" w:rsidRDefault="008C17D3" w:rsidP="00501E05">
      <w:pPr>
        <w:spacing w:after="120"/>
        <w:ind w:firstLine="425"/>
        <w:jc w:val="both"/>
        <w:rPr>
          <w:rFonts w:ascii="Bookman Old Style" w:hAnsi="Bookman Old Style"/>
          <w:sz w:val="22"/>
          <w:szCs w:val="22"/>
        </w:rPr>
      </w:pPr>
      <w:r w:rsidRPr="00501E05">
        <w:rPr>
          <w:rFonts w:ascii="Bookman Old Style" w:hAnsi="Bookman Old Style"/>
          <w:sz w:val="22"/>
          <w:szCs w:val="22"/>
        </w:rPr>
        <w:t>Освен Законът за здравето на почвите</w:t>
      </w:r>
      <w:r w:rsidR="00501E05">
        <w:rPr>
          <w:rFonts w:ascii="Bookman Old Style" w:hAnsi="Bookman Old Style"/>
          <w:sz w:val="22"/>
          <w:szCs w:val="22"/>
        </w:rPr>
        <w:t>,</w:t>
      </w:r>
      <w:r w:rsidRPr="00501E05">
        <w:rPr>
          <w:rFonts w:ascii="Bookman Old Style" w:hAnsi="Bookman Old Style"/>
          <w:sz w:val="22"/>
          <w:szCs w:val="22"/>
        </w:rPr>
        <w:t xml:space="preserve"> предстои и разглеждането на</w:t>
      </w:r>
      <w:r w:rsidR="003E556B" w:rsidRPr="00501E05">
        <w:rPr>
          <w:rFonts w:ascii="Bookman Old Style" w:hAnsi="Bookman Old Style"/>
          <w:sz w:val="22"/>
          <w:szCs w:val="22"/>
        </w:rPr>
        <w:t xml:space="preserve"> Регламент за сертифициране от ЕС за т.нар. зелени сертификати за спестяване на въглерод</w:t>
      </w:r>
      <w:r w:rsidR="00501E05">
        <w:rPr>
          <w:rFonts w:ascii="Bookman Old Style" w:hAnsi="Bookman Old Style"/>
          <w:sz w:val="22"/>
          <w:szCs w:val="22"/>
        </w:rPr>
        <w:t>,</w:t>
      </w:r>
      <w:r w:rsidRPr="00501E05">
        <w:rPr>
          <w:rFonts w:ascii="Bookman Old Style" w:hAnsi="Bookman Old Style"/>
          <w:sz w:val="22"/>
          <w:szCs w:val="22"/>
        </w:rPr>
        <w:t xml:space="preserve"> като част от новата зелена политика на Европа.</w:t>
      </w:r>
    </w:p>
    <w:p w14:paraId="0625DF01" w14:textId="77777777" w:rsidR="0076317E" w:rsidRPr="00B3335F" w:rsidRDefault="00615905" w:rsidP="006F1855">
      <w:pPr>
        <w:pStyle w:val="Heading1"/>
      </w:pPr>
      <w:bookmarkStart w:id="4" w:name="_Toc137200643"/>
      <w:r w:rsidRPr="00B3335F">
        <w:t>Ролята на аграрната наука</w:t>
      </w:r>
      <w:bookmarkEnd w:id="4"/>
      <w:r w:rsidRPr="00B3335F">
        <w:t xml:space="preserve"> </w:t>
      </w:r>
    </w:p>
    <w:p w14:paraId="75E8D63E" w14:textId="49980F5F" w:rsidR="00745641" w:rsidRPr="00501E05" w:rsidRDefault="00745641" w:rsidP="00501E05">
      <w:pPr>
        <w:spacing w:after="120"/>
        <w:ind w:firstLine="425"/>
        <w:jc w:val="both"/>
        <w:rPr>
          <w:rFonts w:ascii="Bookman Old Style" w:hAnsi="Bookman Old Style"/>
          <w:sz w:val="22"/>
        </w:rPr>
      </w:pPr>
      <w:r w:rsidRPr="00501E05">
        <w:rPr>
          <w:rFonts w:ascii="Bookman Old Style" w:hAnsi="Bookman Old Style"/>
          <w:sz w:val="22"/>
        </w:rPr>
        <w:t>П</w:t>
      </w:r>
      <w:r w:rsidR="0076317E" w:rsidRPr="00501E05">
        <w:rPr>
          <w:rFonts w:ascii="Bookman Old Style" w:hAnsi="Bookman Old Style"/>
          <w:sz w:val="22"/>
        </w:rPr>
        <w:t>роф. дн инж. Мартин Банов, председател на ССА</w:t>
      </w:r>
      <w:r w:rsidRPr="00501E05">
        <w:rPr>
          <w:rFonts w:ascii="Bookman Old Style" w:hAnsi="Bookman Old Style"/>
          <w:sz w:val="22"/>
        </w:rPr>
        <w:t xml:space="preserve">, </w:t>
      </w:r>
      <w:r w:rsidRPr="00501E05">
        <w:rPr>
          <w:rFonts w:ascii="Bookman Old Style" w:hAnsi="Bookman Old Style"/>
          <w:b/>
          <w:sz w:val="22"/>
        </w:rPr>
        <w:t>представи основните дейности на Академията</w:t>
      </w:r>
      <w:r w:rsidRPr="00501E05">
        <w:rPr>
          <w:rFonts w:ascii="Bookman Old Style" w:hAnsi="Bookman Old Style"/>
          <w:sz w:val="22"/>
        </w:rPr>
        <w:t>, като ги разпредели в три основни групи: 1. Контролни и сертифициращи; 2. Съвети и експертиза, свързани с изготвянето на регламенти, стратегии, програми, закони и SWOT анализи; 3. Консултантски, информационни и обучителни дейности. Основните потребители на услугите на ССА са: Семепроизводни фирми, разсадници, развъдни ферми у нас и в чужбина; Екологични и други неправителствени организац</w:t>
      </w:r>
      <w:r w:rsidR="00CF6345" w:rsidRPr="00501E05">
        <w:rPr>
          <w:rFonts w:ascii="Bookman Old Style" w:hAnsi="Bookman Old Style"/>
          <w:sz w:val="22"/>
        </w:rPr>
        <w:t>и</w:t>
      </w:r>
      <w:r w:rsidRPr="00501E05">
        <w:rPr>
          <w:rFonts w:ascii="Bookman Old Style" w:hAnsi="Bookman Old Style"/>
          <w:sz w:val="22"/>
        </w:rPr>
        <w:t>и; държавна и общинска администрация; фермери и техните сдружения; преработвателни предприятия и търговци.</w:t>
      </w:r>
    </w:p>
    <w:p w14:paraId="0070012A" w14:textId="047CD948" w:rsidR="006B6312" w:rsidRPr="00501E05" w:rsidRDefault="00745641" w:rsidP="00501E05">
      <w:pPr>
        <w:spacing w:after="120"/>
        <w:ind w:firstLine="425"/>
        <w:jc w:val="both"/>
        <w:rPr>
          <w:rFonts w:ascii="Bookman Old Style" w:hAnsi="Bookman Old Style"/>
          <w:sz w:val="22"/>
        </w:rPr>
      </w:pPr>
      <w:r w:rsidRPr="00501E05">
        <w:rPr>
          <w:rFonts w:ascii="Bookman Old Style" w:hAnsi="Bookman Old Style"/>
          <w:sz w:val="22"/>
        </w:rPr>
        <w:t xml:space="preserve">Проф. Банов изнесе любопитни </w:t>
      </w:r>
      <w:r w:rsidRPr="00501E05">
        <w:rPr>
          <w:rFonts w:ascii="Bookman Old Style" w:hAnsi="Bookman Old Style"/>
          <w:b/>
          <w:sz w:val="22"/>
        </w:rPr>
        <w:t>данни за състоянието на българското земеделие</w:t>
      </w:r>
      <w:r w:rsidRPr="00501E05">
        <w:rPr>
          <w:rFonts w:ascii="Bookman Old Style" w:hAnsi="Bookman Old Style"/>
          <w:sz w:val="22"/>
        </w:rPr>
        <w:t>.</w:t>
      </w:r>
      <w:r w:rsidR="006B6312" w:rsidRPr="00501E05">
        <w:rPr>
          <w:rFonts w:ascii="Bookman Old Style" w:hAnsi="Bookman Old Style"/>
          <w:sz w:val="22"/>
        </w:rPr>
        <w:t xml:space="preserve"> Според тях, 85,5% от обработваемата земя у нас през 2022 г. е била заета от зърнено-житни култури (40,4%), слънчоглед (28,5%) и царевица (16,6%), а едва 10,7% - от всички останали наблюдавани от МЗ</w:t>
      </w:r>
      <w:r w:rsidR="00CF6345" w:rsidRPr="00501E05">
        <w:rPr>
          <w:rFonts w:ascii="Bookman Old Style" w:hAnsi="Bookman Old Style"/>
          <w:sz w:val="22"/>
        </w:rPr>
        <w:t>Х</w:t>
      </w:r>
      <w:r w:rsidR="006B6312" w:rsidRPr="00501E05">
        <w:rPr>
          <w:rFonts w:ascii="Bookman Old Style" w:hAnsi="Bookman Old Style"/>
          <w:sz w:val="22"/>
        </w:rPr>
        <w:t xml:space="preserve"> култури. „</w:t>
      </w:r>
      <w:r w:rsidR="006B6312" w:rsidRPr="00501E05">
        <w:rPr>
          <w:rFonts w:ascii="Bookman Old Style" w:hAnsi="Bookman Old Style"/>
          <w:i/>
          <w:sz w:val="22"/>
        </w:rPr>
        <w:t>Това означава, че развиваме монок</w:t>
      </w:r>
      <w:r w:rsidR="00CF6345" w:rsidRPr="00501E05">
        <w:rPr>
          <w:rFonts w:ascii="Bookman Old Style" w:hAnsi="Bookman Old Style"/>
          <w:i/>
          <w:sz w:val="22"/>
        </w:rPr>
        <w:t>у</w:t>
      </w:r>
      <w:r w:rsidR="006B6312" w:rsidRPr="00501E05">
        <w:rPr>
          <w:rFonts w:ascii="Bookman Old Style" w:hAnsi="Bookman Old Style"/>
          <w:i/>
          <w:sz w:val="22"/>
        </w:rPr>
        <w:t>лт</w:t>
      </w:r>
      <w:r w:rsidR="00CF6345" w:rsidRPr="00501E05">
        <w:rPr>
          <w:rFonts w:ascii="Bookman Old Style" w:hAnsi="Bookman Old Style"/>
          <w:i/>
          <w:sz w:val="22"/>
        </w:rPr>
        <w:t>у</w:t>
      </w:r>
      <w:r w:rsidR="006B6312" w:rsidRPr="00501E05">
        <w:rPr>
          <w:rFonts w:ascii="Bookman Old Style" w:hAnsi="Bookman Old Style"/>
          <w:i/>
          <w:sz w:val="22"/>
        </w:rPr>
        <w:t>рно земеделие, което не позво</w:t>
      </w:r>
      <w:r w:rsidR="00CF6345" w:rsidRPr="00501E05">
        <w:rPr>
          <w:rFonts w:ascii="Bookman Old Style" w:hAnsi="Bookman Old Style"/>
          <w:i/>
          <w:sz w:val="22"/>
        </w:rPr>
        <w:t>л</w:t>
      </w:r>
      <w:r w:rsidR="006B6312" w:rsidRPr="00501E05">
        <w:rPr>
          <w:rFonts w:ascii="Bookman Old Style" w:hAnsi="Bookman Old Style"/>
          <w:i/>
          <w:sz w:val="22"/>
        </w:rPr>
        <w:t>ява в много случаи научно обосновано земеползване за</w:t>
      </w:r>
      <w:r w:rsidR="006B6312" w:rsidRPr="00501E05">
        <w:rPr>
          <w:rFonts w:ascii="Bookman Old Style" w:hAnsi="Bookman Old Style"/>
          <w:i/>
          <w:sz w:val="20"/>
        </w:rPr>
        <w:t xml:space="preserve"> </w:t>
      </w:r>
      <w:r w:rsidR="006B6312" w:rsidRPr="00501E05">
        <w:rPr>
          <w:rFonts w:ascii="Bookman Old Style" w:hAnsi="Bookman Old Style"/>
          <w:i/>
          <w:sz w:val="22"/>
        </w:rPr>
        <w:t>опазване плодородието на почвите и продуктивността на земите</w:t>
      </w:r>
      <w:r w:rsidR="006B6312" w:rsidRPr="00501E05">
        <w:rPr>
          <w:rFonts w:ascii="Bookman Old Style" w:hAnsi="Bookman Old Style"/>
          <w:sz w:val="22"/>
        </w:rPr>
        <w:t>“, подчерта проф. Банов.</w:t>
      </w:r>
      <w:r w:rsidR="00615905" w:rsidRPr="00501E05">
        <w:rPr>
          <w:rFonts w:ascii="Bookman Old Style" w:hAnsi="Bookman Old Style"/>
          <w:sz w:val="22"/>
        </w:rPr>
        <w:t xml:space="preserve"> Той допълни, че през 2022 г. се наблюдава увеличение на площите, заети със </w:t>
      </w:r>
      <w:r w:rsidR="00615905" w:rsidRPr="00501E05">
        <w:rPr>
          <w:rFonts w:ascii="Bookman Old Style" w:hAnsi="Bookman Old Style"/>
          <w:sz w:val="22"/>
        </w:rPr>
        <w:lastRenderedPageBreak/>
        <w:t>слънчоглед (28,5%), като през предходните четири години делът на тази култура е бил между 22,8 и 25,5%.</w:t>
      </w:r>
    </w:p>
    <w:p w14:paraId="63E94674" w14:textId="77777777" w:rsidR="00252085" w:rsidRPr="00501E05" w:rsidRDefault="006B6312" w:rsidP="00501E05">
      <w:pPr>
        <w:spacing w:after="120"/>
        <w:ind w:firstLine="425"/>
        <w:jc w:val="both"/>
        <w:rPr>
          <w:rFonts w:ascii="Bookman Old Style" w:hAnsi="Bookman Old Style"/>
          <w:sz w:val="22"/>
        </w:rPr>
      </w:pPr>
      <w:r w:rsidRPr="00501E05">
        <w:rPr>
          <w:rFonts w:ascii="Bookman Old Style" w:hAnsi="Bookman Old Style"/>
          <w:sz w:val="22"/>
        </w:rPr>
        <w:t>Според проф. Бано</w:t>
      </w:r>
      <w:r w:rsidR="00252085" w:rsidRPr="00501E05">
        <w:rPr>
          <w:rFonts w:ascii="Bookman Old Style" w:hAnsi="Bookman Old Style"/>
          <w:sz w:val="22"/>
        </w:rPr>
        <w:t>в</w:t>
      </w:r>
      <w:r w:rsidRPr="00501E05">
        <w:rPr>
          <w:rFonts w:ascii="Bookman Old Style" w:hAnsi="Bookman Old Style"/>
          <w:sz w:val="22"/>
        </w:rPr>
        <w:t>, от научна гледна точка,</w:t>
      </w:r>
      <w:r w:rsidR="00615905" w:rsidRPr="00501E05">
        <w:rPr>
          <w:rFonts w:ascii="Bookman Old Style" w:hAnsi="Bookman Old Style"/>
          <w:sz w:val="22"/>
        </w:rPr>
        <w:t xml:space="preserve"> българското земеделие се нуждае от разработването на </w:t>
      </w:r>
      <w:r w:rsidR="00615905" w:rsidRPr="00501E05">
        <w:rPr>
          <w:rFonts w:ascii="Bookman Old Style" w:hAnsi="Bookman Old Style"/>
          <w:sz w:val="22"/>
          <w:u w:val="single"/>
        </w:rPr>
        <w:t>два инструмента</w:t>
      </w:r>
      <w:r w:rsidR="00252085" w:rsidRPr="00501E05">
        <w:rPr>
          <w:rFonts w:ascii="Bookman Old Style" w:hAnsi="Bookman Old Style"/>
          <w:sz w:val="22"/>
        </w:rPr>
        <w:t>, които ще спомогнат за определяне на политиката, стратегията, производството и контрола над него</w:t>
      </w:r>
      <w:r w:rsidR="00615905" w:rsidRPr="00501E05">
        <w:rPr>
          <w:rFonts w:ascii="Bookman Old Style" w:hAnsi="Bookman Old Style"/>
          <w:sz w:val="22"/>
        </w:rPr>
        <w:t xml:space="preserve">: </w:t>
      </w:r>
    </w:p>
    <w:p w14:paraId="0740B1B4" w14:textId="1F242B26" w:rsidR="00252085" w:rsidRPr="00501E05" w:rsidRDefault="00615905" w:rsidP="00501E05">
      <w:pPr>
        <w:spacing w:after="120"/>
        <w:ind w:firstLine="425"/>
        <w:jc w:val="both"/>
        <w:rPr>
          <w:rFonts w:ascii="Bookman Old Style" w:hAnsi="Bookman Old Style"/>
          <w:sz w:val="22"/>
        </w:rPr>
      </w:pPr>
      <w:r w:rsidRPr="00501E05">
        <w:rPr>
          <w:rFonts w:ascii="Bookman Old Style" w:hAnsi="Bookman Old Style"/>
          <w:sz w:val="22"/>
        </w:rPr>
        <w:t xml:space="preserve">1. </w:t>
      </w:r>
      <w:r w:rsidRPr="00501E05">
        <w:rPr>
          <w:rFonts w:ascii="Bookman Old Style" w:hAnsi="Bookman Old Style"/>
          <w:b/>
          <w:sz w:val="22"/>
        </w:rPr>
        <w:t>Агроекологично райониране на територията на страната по пригодност за отглеждане на</w:t>
      </w:r>
      <w:r w:rsidR="00252085" w:rsidRPr="00501E05">
        <w:rPr>
          <w:rFonts w:ascii="Bookman Old Style" w:hAnsi="Bookman Old Style"/>
          <w:b/>
          <w:sz w:val="22"/>
        </w:rPr>
        <w:t xml:space="preserve"> структуроопределящите култури</w:t>
      </w:r>
      <w:r w:rsidR="00252085" w:rsidRPr="00501E05">
        <w:rPr>
          <w:rFonts w:ascii="Bookman Old Style" w:hAnsi="Bookman Old Style"/>
          <w:sz w:val="22"/>
        </w:rPr>
        <w:t>. Районирането следва да включва характеристиките на агроекологичните дадености – почвени, орографски, климатични и пр., така че да се изясни пригодността на земеделските земи при определянето на видовете земеползване в отде</w:t>
      </w:r>
      <w:r w:rsidR="00CF6345" w:rsidRPr="00501E05">
        <w:rPr>
          <w:rFonts w:ascii="Bookman Old Style" w:hAnsi="Bookman Old Style"/>
          <w:sz w:val="22"/>
        </w:rPr>
        <w:t>л</w:t>
      </w:r>
      <w:r w:rsidR="00252085" w:rsidRPr="00501E05">
        <w:rPr>
          <w:rFonts w:ascii="Bookman Old Style" w:hAnsi="Bookman Old Style"/>
          <w:sz w:val="22"/>
        </w:rPr>
        <w:t>ните райони на страната. Районирането на културите ще дава информация за степента на пригодност на почвите и климата за отглеждане на една или друга култура. „</w:t>
      </w:r>
      <w:r w:rsidR="00252085" w:rsidRPr="00501E05">
        <w:rPr>
          <w:rFonts w:ascii="Bookman Old Style" w:hAnsi="Bookman Old Style"/>
          <w:i/>
          <w:sz w:val="22"/>
        </w:rPr>
        <w:t>Такова райониране, направено за 20-30 култури (техни сортове и хибриди), ще бъде мощен инструмент при насочване и диверсификация на производството, и ограничаване на монокултурното земеделие</w:t>
      </w:r>
      <w:r w:rsidR="00252085" w:rsidRPr="00501E05">
        <w:rPr>
          <w:rFonts w:ascii="Bookman Old Style" w:hAnsi="Bookman Old Style"/>
          <w:sz w:val="22"/>
        </w:rPr>
        <w:t>“, беден е проф. Банов.</w:t>
      </w:r>
    </w:p>
    <w:p w14:paraId="4C959DC0" w14:textId="13934F3A" w:rsidR="001D67CC" w:rsidRPr="00501E05" w:rsidRDefault="00615905" w:rsidP="00501E05">
      <w:pPr>
        <w:spacing w:after="120"/>
        <w:ind w:firstLine="425"/>
        <w:jc w:val="both"/>
        <w:rPr>
          <w:rFonts w:ascii="Bookman Old Style" w:hAnsi="Bookman Old Style"/>
          <w:sz w:val="22"/>
        </w:rPr>
      </w:pPr>
      <w:r w:rsidRPr="00501E05">
        <w:rPr>
          <w:rFonts w:ascii="Bookman Old Style" w:hAnsi="Bookman Old Style"/>
          <w:sz w:val="22"/>
        </w:rPr>
        <w:t xml:space="preserve">2. </w:t>
      </w:r>
      <w:r w:rsidRPr="00501E05">
        <w:rPr>
          <w:rFonts w:ascii="Bookman Old Style" w:hAnsi="Bookman Old Style"/>
          <w:b/>
          <w:sz w:val="22"/>
        </w:rPr>
        <w:t>Ведомствен кадастър на земеделската територия на страната</w:t>
      </w:r>
      <w:r w:rsidR="00252085" w:rsidRPr="00501E05">
        <w:rPr>
          <w:rFonts w:ascii="Bookman Old Style" w:hAnsi="Bookman Old Style"/>
          <w:sz w:val="22"/>
        </w:rPr>
        <w:t xml:space="preserve">, който да </w:t>
      </w:r>
      <w:r w:rsidR="00EE4A1C" w:rsidRPr="00501E05">
        <w:rPr>
          <w:rFonts w:ascii="Bookman Old Style" w:hAnsi="Bookman Old Style"/>
          <w:sz w:val="22"/>
        </w:rPr>
        <w:t>регистрира земите по собственост и да контролира юридическия им статут, да съдържа количествен отчет на земите, качествените им характеристики (хармонизирани с аналозите в ЕС), както и екологичните им оценки, като позволява динамично поддържане и актуализация на държавните и пазарните агроикономически оценки на земите. „</w:t>
      </w:r>
      <w:r w:rsidR="00EE4A1C" w:rsidRPr="00501E05">
        <w:rPr>
          <w:rFonts w:ascii="Bookman Old Style" w:hAnsi="Bookman Old Style"/>
          <w:i/>
          <w:sz w:val="22"/>
        </w:rPr>
        <w:t>Към настоящия момент служителите на МЗм работят с три инструмента – Карта на възстановената собственост, Физически блокове по начин на трайно ползване и Единен кадастър на РБ. И трите инструмента, дори взети заедно, са крайно бедни на информация за обслужване на растениевъдството, технологиите, сеитбообращенията, агрохимическото обслужване, растителната защита и т.н</w:t>
      </w:r>
      <w:r w:rsidR="00EE4A1C" w:rsidRPr="00501E05">
        <w:rPr>
          <w:rFonts w:ascii="Bookman Old Style" w:hAnsi="Bookman Old Style"/>
          <w:sz w:val="22"/>
        </w:rPr>
        <w:t>.“, обясни проф. Банов.</w:t>
      </w:r>
    </w:p>
    <w:p w14:paraId="78B5A7A4" w14:textId="386148DC" w:rsidR="000053DB" w:rsidRPr="00B3335F" w:rsidRDefault="000053DB" w:rsidP="006F1855">
      <w:pPr>
        <w:pStyle w:val="Heading1"/>
      </w:pPr>
      <w:bookmarkStart w:id="5" w:name="_Toc137200644"/>
      <w:r w:rsidRPr="00B3335F">
        <w:t xml:space="preserve">Стратегически план за развитие на земеделието и селските райони на </w:t>
      </w:r>
      <w:r w:rsidRPr="00B3335F">
        <w:br/>
        <w:t xml:space="preserve">Р </w:t>
      </w:r>
      <w:r w:rsidRPr="00501E05">
        <w:t>България за периода 2023-2027 г.</w:t>
      </w:r>
      <w:r w:rsidR="001D67CC" w:rsidRPr="00501E05">
        <w:t xml:space="preserve"> и Национален план за възстановяване и устойчивост</w:t>
      </w:r>
      <w:bookmarkEnd w:id="5"/>
    </w:p>
    <w:p w14:paraId="4BE85257" w14:textId="07D4855D" w:rsidR="00B3335F" w:rsidRPr="00501E05" w:rsidRDefault="00741090" w:rsidP="00501E05">
      <w:pPr>
        <w:spacing w:after="120"/>
        <w:ind w:firstLine="426"/>
        <w:jc w:val="both"/>
        <w:rPr>
          <w:rFonts w:ascii="Bookman Old Style" w:hAnsi="Bookman Old Style"/>
          <w:sz w:val="22"/>
          <w:szCs w:val="22"/>
        </w:rPr>
      </w:pPr>
      <w:r w:rsidRPr="00501E05">
        <w:rPr>
          <w:rFonts w:ascii="Bookman Old Style" w:hAnsi="Bookman Old Style"/>
          <w:sz w:val="22"/>
          <w:szCs w:val="22"/>
        </w:rPr>
        <w:t xml:space="preserve">Експертите </w:t>
      </w:r>
      <w:r w:rsidRPr="00501E05">
        <w:rPr>
          <w:rFonts w:ascii="Bookman Old Style" w:hAnsi="Bookman Old Style"/>
          <w:b/>
          <w:bCs/>
          <w:sz w:val="22"/>
          <w:szCs w:val="22"/>
        </w:rPr>
        <w:t xml:space="preserve">Любомира Цветанова и Петър Михайлов от </w:t>
      </w:r>
      <w:r w:rsidR="00CF172C" w:rsidRPr="00501E05">
        <w:rPr>
          <w:rFonts w:ascii="Bookman Old Style" w:hAnsi="Bookman Old Style"/>
          <w:b/>
          <w:bCs/>
          <w:sz w:val="22"/>
          <w:szCs w:val="22"/>
        </w:rPr>
        <w:t>Дирекция „Развитие на селските райони“</w:t>
      </w:r>
      <w:r w:rsidR="00CF172C" w:rsidRPr="00501E05">
        <w:rPr>
          <w:rFonts w:ascii="Bookman Old Style" w:hAnsi="Bookman Old Style"/>
          <w:sz w:val="22"/>
          <w:szCs w:val="22"/>
        </w:rPr>
        <w:t>, МЗХ</w:t>
      </w:r>
      <w:r w:rsidR="00501E05">
        <w:rPr>
          <w:rFonts w:ascii="Bookman Old Style" w:hAnsi="Bookman Old Style"/>
          <w:sz w:val="22"/>
          <w:szCs w:val="22"/>
        </w:rPr>
        <w:t>,</w:t>
      </w:r>
      <w:r w:rsidR="00CF172C" w:rsidRPr="00501E05">
        <w:rPr>
          <w:rFonts w:ascii="Bookman Old Style" w:hAnsi="Bookman Old Style"/>
          <w:sz w:val="22"/>
          <w:szCs w:val="22"/>
        </w:rPr>
        <w:t xml:space="preserve"> </w:t>
      </w:r>
      <w:r w:rsidRPr="00501E05">
        <w:rPr>
          <w:rFonts w:ascii="Bookman Old Style" w:hAnsi="Bookman Old Style"/>
          <w:sz w:val="22"/>
          <w:szCs w:val="22"/>
        </w:rPr>
        <w:t>разясниха възможностите пред българските земеделци, които предоставя</w:t>
      </w:r>
      <w:r w:rsidR="00501E05">
        <w:rPr>
          <w:rFonts w:ascii="Bookman Old Style" w:hAnsi="Bookman Old Style"/>
          <w:sz w:val="22"/>
          <w:szCs w:val="22"/>
        </w:rPr>
        <w:t>т</w:t>
      </w:r>
      <w:r w:rsidRPr="00501E05">
        <w:rPr>
          <w:rFonts w:ascii="Bookman Old Style" w:hAnsi="Bookman Old Style"/>
          <w:sz w:val="22"/>
          <w:szCs w:val="22"/>
        </w:rPr>
        <w:t xml:space="preserve"> Стратегическият план за развитие на земеделието и селските райони на Република България за периода 2023 – 2027 г.</w:t>
      </w:r>
      <w:r w:rsidR="00501E05">
        <w:rPr>
          <w:rFonts w:ascii="Bookman Old Style" w:hAnsi="Bookman Old Style"/>
          <w:sz w:val="22"/>
          <w:szCs w:val="22"/>
        </w:rPr>
        <w:t xml:space="preserve"> </w:t>
      </w:r>
      <w:r w:rsidRPr="00501E05">
        <w:rPr>
          <w:rFonts w:ascii="Bookman Old Style" w:hAnsi="Bookman Old Style"/>
          <w:sz w:val="22"/>
          <w:szCs w:val="22"/>
        </w:rPr>
        <w:t xml:space="preserve">и Националният план за възстановяване и устойчивост, в частност </w:t>
      </w:r>
      <w:r w:rsidR="00501E05">
        <w:rPr>
          <w:rFonts w:ascii="Bookman Old Style" w:hAnsi="Bookman Old Style"/>
          <w:sz w:val="22"/>
          <w:szCs w:val="22"/>
        </w:rPr>
        <w:t xml:space="preserve">– </w:t>
      </w:r>
      <w:r w:rsidRPr="00501E05">
        <w:rPr>
          <w:rFonts w:ascii="Bookman Old Style" w:hAnsi="Bookman Old Style"/>
          <w:sz w:val="22"/>
          <w:szCs w:val="22"/>
        </w:rPr>
        <w:t>Компонент</w:t>
      </w:r>
      <w:r w:rsidR="00501E05">
        <w:rPr>
          <w:rFonts w:ascii="Bookman Old Style" w:hAnsi="Bookman Old Style"/>
          <w:sz w:val="22"/>
          <w:szCs w:val="22"/>
        </w:rPr>
        <w:t xml:space="preserve"> </w:t>
      </w:r>
      <w:r w:rsidRPr="00501E05">
        <w:rPr>
          <w:rFonts w:ascii="Bookman Old Style" w:hAnsi="Bookman Old Style"/>
          <w:sz w:val="22"/>
          <w:szCs w:val="22"/>
        </w:rPr>
        <w:t xml:space="preserve">6 </w:t>
      </w:r>
      <w:r w:rsidR="00501E05">
        <w:rPr>
          <w:rFonts w:ascii="Bookman Old Style" w:hAnsi="Bookman Old Style"/>
          <w:sz w:val="22"/>
          <w:szCs w:val="22"/>
        </w:rPr>
        <w:t>„У</w:t>
      </w:r>
      <w:r w:rsidRPr="00501E05">
        <w:rPr>
          <w:rFonts w:ascii="Bookman Old Style" w:hAnsi="Bookman Old Style"/>
          <w:sz w:val="22"/>
          <w:szCs w:val="22"/>
        </w:rPr>
        <w:t>стойчиво земеделие</w:t>
      </w:r>
      <w:r w:rsidR="00501E05">
        <w:rPr>
          <w:rFonts w:ascii="Bookman Old Style" w:hAnsi="Bookman Old Style"/>
          <w:sz w:val="22"/>
          <w:szCs w:val="22"/>
        </w:rPr>
        <w:t>“</w:t>
      </w:r>
      <w:r w:rsidRPr="00501E05">
        <w:rPr>
          <w:rFonts w:ascii="Bookman Old Style" w:hAnsi="Bookman Old Style"/>
          <w:sz w:val="22"/>
          <w:szCs w:val="22"/>
        </w:rPr>
        <w:t>. Подпомагането по Стратегическия план се предоставя за материални и/или нематериални активи, в това число машини, съоръжения, оборудване, включително и недвижима собственост, както и общи разходи, свързани с подпомаганата дейност</w:t>
      </w:r>
      <w:r w:rsidR="00B3335F" w:rsidRPr="00501E05">
        <w:rPr>
          <w:rFonts w:ascii="Bookman Old Style" w:hAnsi="Bookman Old Style"/>
          <w:sz w:val="22"/>
          <w:szCs w:val="22"/>
        </w:rPr>
        <w:t>.</w:t>
      </w:r>
      <w:r w:rsidRPr="00501E05">
        <w:rPr>
          <w:rFonts w:ascii="Bookman Old Style" w:hAnsi="Bookman Old Style"/>
          <w:sz w:val="22"/>
          <w:szCs w:val="22"/>
        </w:rPr>
        <w:t xml:space="preserve"> </w:t>
      </w:r>
      <w:r w:rsidR="00B3335F" w:rsidRPr="00501E05">
        <w:rPr>
          <w:rFonts w:ascii="Bookman Old Style" w:hAnsi="Bookman Old Style"/>
          <w:sz w:val="22"/>
          <w:szCs w:val="22"/>
        </w:rPr>
        <w:t>Инвестициите в напоителна</w:t>
      </w:r>
      <w:r w:rsidR="00501E05">
        <w:rPr>
          <w:rFonts w:ascii="Bookman Old Style" w:hAnsi="Bookman Old Style"/>
          <w:sz w:val="22"/>
          <w:szCs w:val="22"/>
        </w:rPr>
        <w:t xml:space="preserve">та структура ще бъдат насочени </w:t>
      </w:r>
      <w:r w:rsidR="00B3335F" w:rsidRPr="00501E05">
        <w:rPr>
          <w:rFonts w:ascii="Bookman Old Style" w:hAnsi="Bookman Old Style"/>
          <w:sz w:val="22"/>
          <w:szCs w:val="22"/>
        </w:rPr>
        <w:t>към следните примерни дейности:</w:t>
      </w:r>
    </w:p>
    <w:p w14:paraId="2AABBDDB" w14:textId="5C82EF10" w:rsidR="00B3335F" w:rsidRPr="00501E05" w:rsidRDefault="00B3335F" w:rsidP="00501E05">
      <w:pPr>
        <w:pStyle w:val="ListParagraph"/>
        <w:numPr>
          <w:ilvl w:val="0"/>
          <w:numId w:val="12"/>
        </w:numPr>
        <w:spacing w:after="120"/>
        <w:ind w:hanging="294"/>
        <w:jc w:val="both"/>
        <w:rPr>
          <w:rFonts w:ascii="Bookman Old Style" w:hAnsi="Bookman Old Style"/>
          <w:sz w:val="22"/>
          <w:szCs w:val="22"/>
        </w:rPr>
      </w:pPr>
      <w:r w:rsidRPr="00501E05">
        <w:rPr>
          <w:rFonts w:ascii="Bookman Old Style" w:hAnsi="Bookman Old Style"/>
          <w:sz w:val="22"/>
          <w:szCs w:val="22"/>
        </w:rPr>
        <w:t>Ремонт/реконструкция/рехабилитация на напоителни инсталации и напоителна инфраструктура;</w:t>
      </w:r>
    </w:p>
    <w:p w14:paraId="199F43C4" w14:textId="5518D67F" w:rsidR="00B3335F" w:rsidRPr="00501E05" w:rsidRDefault="00B3335F" w:rsidP="00501E05">
      <w:pPr>
        <w:pStyle w:val="ListParagraph"/>
        <w:numPr>
          <w:ilvl w:val="0"/>
          <w:numId w:val="12"/>
        </w:numPr>
        <w:spacing w:after="120"/>
        <w:ind w:hanging="294"/>
        <w:jc w:val="both"/>
        <w:rPr>
          <w:rFonts w:ascii="Bookman Old Style" w:hAnsi="Bookman Old Style"/>
          <w:sz w:val="22"/>
          <w:szCs w:val="22"/>
        </w:rPr>
      </w:pPr>
      <w:r w:rsidRPr="00501E05">
        <w:rPr>
          <w:rFonts w:ascii="Bookman Old Style" w:hAnsi="Bookman Old Style"/>
          <w:sz w:val="22"/>
          <w:szCs w:val="22"/>
        </w:rPr>
        <w:t>Закупуване и инсталиране на нови машини, съоръжения и оборудване за напояване, измерване и мониторинг, включително и такива, пряко свързани с подобряване на енергийната ефективност и опазване на околната среда.</w:t>
      </w:r>
    </w:p>
    <w:p w14:paraId="0DF77B71" w14:textId="14F0B227" w:rsidR="00B3335F" w:rsidRPr="00501E05" w:rsidRDefault="00B3335F" w:rsidP="00501E05">
      <w:pPr>
        <w:spacing w:after="120"/>
        <w:ind w:firstLine="426"/>
        <w:jc w:val="both"/>
        <w:rPr>
          <w:rFonts w:ascii="Bookman Old Style" w:hAnsi="Bookman Old Style"/>
          <w:sz w:val="22"/>
          <w:szCs w:val="22"/>
        </w:rPr>
      </w:pPr>
      <w:r w:rsidRPr="00501E05">
        <w:rPr>
          <w:rFonts w:ascii="Bookman Old Style" w:hAnsi="Bookman Old Style"/>
          <w:sz w:val="22"/>
          <w:szCs w:val="22"/>
        </w:rPr>
        <w:lastRenderedPageBreak/>
        <w:t>По интервенцията са допустими и общи разходи, свързани с проектното предложение, извършени както в процеса на подготовка на проекта преди подаване на проектното предложение, така и по време на неговото изпълнение.</w:t>
      </w:r>
    </w:p>
    <w:p w14:paraId="6A474B3B" w14:textId="70EF40E1" w:rsidR="00B3335F" w:rsidRPr="00501E05" w:rsidRDefault="00B3335F" w:rsidP="00501E05">
      <w:pPr>
        <w:spacing w:after="120"/>
        <w:ind w:firstLine="426"/>
        <w:jc w:val="both"/>
        <w:rPr>
          <w:rFonts w:ascii="Bookman Old Style" w:hAnsi="Bookman Old Style"/>
          <w:sz w:val="22"/>
          <w:szCs w:val="22"/>
        </w:rPr>
      </w:pPr>
      <w:r w:rsidRPr="00501E05">
        <w:rPr>
          <w:rFonts w:ascii="Bookman Old Style" w:hAnsi="Bookman Old Style"/>
          <w:sz w:val="22"/>
          <w:szCs w:val="22"/>
        </w:rPr>
        <w:t xml:space="preserve">Инвестициите, включени в проектното предложение, трябва да са придружени от документ от компетентния орган по околна среда (РИОСВ/МОСВ/БД), издаден по реда на ЗООС и/или ЗБР и ЗВ. </w:t>
      </w:r>
    </w:p>
    <w:p w14:paraId="5342713C" w14:textId="33D38AE3" w:rsidR="00B3335F" w:rsidRPr="00501E05" w:rsidRDefault="00501E05" w:rsidP="00501E05">
      <w:pPr>
        <w:spacing w:after="120"/>
        <w:ind w:firstLine="426"/>
        <w:jc w:val="both"/>
        <w:rPr>
          <w:rFonts w:ascii="Bookman Old Style" w:hAnsi="Bookman Old Style"/>
          <w:sz w:val="22"/>
          <w:szCs w:val="22"/>
        </w:rPr>
      </w:pPr>
      <w:r>
        <w:rPr>
          <w:rFonts w:ascii="Bookman Old Style" w:hAnsi="Bookman Old Style"/>
          <w:sz w:val="22"/>
          <w:szCs w:val="22"/>
        </w:rPr>
        <w:t xml:space="preserve">Относно Плана </w:t>
      </w:r>
      <w:r w:rsidR="00B3335F" w:rsidRPr="00501E05">
        <w:rPr>
          <w:rFonts w:ascii="Bookman Old Style" w:hAnsi="Bookman Old Style"/>
          <w:sz w:val="22"/>
          <w:szCs w:val="22"/>
        </w:rPr>
        <w:t>за възстановяване и устойчивост, г-н Михайлов акцентира върху предвиденото опростяване на процеса за кандидатстване, което включва:</w:t>
      </w:r>
    </w:p>
    <w:p w14:paraId="41228770" w14:textId="77777777"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sz w:val="22"/>
          <w:szCs w:val="22"/>
        </w:rPr>
        <w:t xml:space="preserve">Опростени </w:t>
      </w:r>
      <w:r w:rsidRPr="00501E05">
        <w:rPr>
          <w:rFonts w:ascii="Bookman Old Style" w:hAnsi="Bookman Old Style"/>
          <w:b/>
          <w:bCs/>
          <w:sz w:val="22"/>
          <w:szCs w:val="22"/>
        </w:rPr>
        <w:t xml:space="preserve">формуляри за Описание на инвестицията </w:t>
      </w:r>
      <w:r w:rsidRPr="00501E05">
        <w:rPr>
          <w:rFonts w:ascii="Bookman Old Style" w:hAnsi="Bookman Old Style"/>
          <w:sz w:val="22"/>
          <w:szCs w:val="22"/>
        </w:rPr>
        <w:t>(вместо бизнес планове);</w:t>
      </w:r>
    </w:p>
    <w:p w14:paraId="64B2A25C" w14:textId="77777777"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sz w:val="22"/>
          <w:szCs w:val="22"/>
        </w:rPr>
        <w:t>Без обследване на СПО;</w:t>
      </w:r>
    </w:p>
    <w:p w14:paraId="340B98FC" w14:textId="77777777"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sz w:val="22"/>
          <w:szCs w:val="22"/>
        </w:rPr>
        <w:t xml:space="preserve">Обоснованост на разходите – една предварителна оферта при кандидатстване + </w:t>
      </w:r>
      <w:r w:rsidRPr="00501E05">
        <w:rPr>
          <w:rFonts w:ascii="Bookman Old Style" w:hAnsi="Bookman Old Style"/>
          <w:b/>
          <w:bCs/>
          <w:sz w:val="22"/>
          <w:szCs w:val="22"/>
        </w:rPr>
        <w:t xml:space="preserve">две съпоставими оферти </w:t>
      </w:r>
      <w:r w:rsidRPr="00501E05">
        <w:rPr>
          <w:rFonts w:ascii="Bookman Old Style" w:hAnsi="Bookman Old Style"/>
          <w:sz w:val="22"/>
          <w:szCs w:val="22"/>
        </w:rPr>
        <w:t>след договор;</w:t>
      </w:r>
    </w:p>
    <w:p w14:paraId="3BF8D529" w14:textId="433DF690"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sz w:val="22"/>
          <w:szCs w:val="22"/>
        </w:rPr>
        <w:t xml:space="preserve">Първоначално </w:t>
      </w:r>
      <w:r w:rsidRPr="00501E05">
        <w:rPr>
          <w:rFonts w:ascii="Bookman Old Style" w:hAnsi="Bookman Old Style"/>
          <w:b/>
          <w:bCs/>
          <w:sz w:val="22"/>
          <w:szCs w:val="22"/>
        </w:rPr>
        <w:t>деклариране на обстоятелства – проверки на последващ етап</w:t>
      </w:r>
      <w:r w:rsidRPr="00501E05">
        <w:rPr>
          <w:rFonts w:ascii="Bookman Old Style" w:hAnsi="Bookman Old Style"/>
          <w:sz w:val="22"/>
          <w:szCs w:val="22"/>
        </w:rPr>
        <w:t>;</w:t>
      </w:r>
    </w:p>
    <w:p w14:paraId="12A372C7" w14:textId="77777777"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b/>
          <w:bCs/>
          <w:sz w:val="22"/>
          <w:szCs w:val="22"/>
        </w:rPr>
        <w:t xml:space="preserve">Един етап на оценка </w:t>
      </w:r>
      <w:r w:rsidRPr="00501E05">
        <w:rPr>
          <w:rFonts w:ascii="Bookman Old Style" w:hAnsi="Bookman Old Style"/>
          <w:sz w:val="22"/>
          <w:szCs w:val="22"/>
        </w:rPr>
        <w:t>на предложенията за изпълнение на инвестиции, обединяващ Административно съответствие и Качество (АСД и ТФО)</w:t>
      </w:r>
      <w:r w:rsidRPr="00501E05">
        <w:rPr>
          <w:rFonts w:ascii="Bookman Old Style" w:hAnsi="Bookman Old Style"/>
          <w:sz w:val="22"/>
          <w:szCs w:val="22"/>
          <w:lang w:val="ru-RU"/>
        </w:rPr>
        <w:t>, в съответствие с чл. 17 на ПМС № 114/2022 г.;</w:t>
      </w:r>
    </w:p>
    <w:p w14:paraId="2377019B" w14:textId="77777777"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sz w:val="22"/>
          <w:szCs w:val="22"/>
        </w:rPr>
        <w:t>Възможност за обжалване на неодобрените за финансиране проектни предложения или неодобрени за финансиране разходи след приключване на оценителния процес по съдебен ред</w:t>
      </w:r>
      <w:r w:rsidRPr="00501E05">
        <w:rPr>
          <w:rFonts w:ascii="Bookman Old Style" w:hAnsi="Bookman Old Style"/>
          <w:sz w:val="22"/>
          <w:szCs w:val="22"/>
          <w:lang w:val="ru-RU"/>
        </w:rPr>
        <w:t>, в съответствие с ПМС № 114/2022 г.</w:t>
      </w:r>
      <w:r w:rsidRPr="00501E05">
        <w:rPr>
          <w:rFonts w:ascii="Bookman Old Style" w:hAnsi="Bookman Old Style"/>
          <w:sz w:val="22"/>
          <w:szCs w:val="22"/>
        </w:rPr>
        <w:t>;</w:t>
      </w:r>
    </w:p>
    <w:p w14:paraId="27854B76" w14:textId="77777777"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b/>
          <w:bCs/>
          <w:sz w:val="22"/>
          <w:szCs w:val="22"/>
        </w:rPr>
        <w:t xml:space="preserve">По-малък брой изискуеми документи </w:t>
      </w:r>
      <w:r w:rsidRPr="00501E05">
        <w:rPr>
          <w:rFonts w:ascii="Bookman Old Style" w:hAnsi="Bookman Old Style"/>
          <w:sz w:val="22"/>
          <w:szCs w:val="22"/>
        </w:rPr>
        <w:t xml:space="preserve">от кандидатите на етап подаване и одобрение на предложенията за изпълнение на инвестиции; </w:t>
      </w:r>
    </w:p>
    <w:p w14:paraId="3FACB187" w14:textId="5583FF7B" w:rsidR="00B3335F" w:rsidRPr="00501E05" w:rsidRDefault="00B3335F" w:rsidP="00501E05">
      <w:pPr>
        <w:numPr>
          <w:ilvl w:val="0"/>
          <w:numId w:val="11"/>
        </w:numPr>
        <w:spacing w:after="120"/>
        <w:ind w:hanging="294"/>
        <w:jc w:val="both"/>
        <w:rPr>
          <w:rFonts w:ascii="Bookman Old Style" w:hAnsi="Bookman Old Style"/>
          <w:sz w:val="22"/>
          <w:szCs w:val="22"/>
        </w:rPr>
      </w:pPr>
      <w:r w:rsidRPr="00501E05">
        <w:rPr>
          <w:rFonts w:ascii="Bookman Old Style" w:hAnsi="Bookman Old Style"/>
          <w:b/>
          <w:bCs/>
          <w:sz w:val="22"/>
          <w:szCs w:val="22"/>
        </w:rPr>
        <w:t xml:space="preserve">По-кратък срок </w:t>
      </w:r>
      <w:r w:rsidRPr="00501E05">
        <w:rPr>
          <w:rFonts w:ascii="Bookman Old Style" w:hAnsi="Bookman Old Style"/>
          <w:sz w:val="22"/>
          <w:szCs w:val="22"/>
        </w:rPr>
        <w:t>(7 дни) за представяне на изискуеми документи при констатиране на непълноти или неточности в представените предложения.</w:t>
      </w:r>
    </w:p>
    <w:p w14:paraId="5F6B851D" w14:textId="77777777" w:rsidR="00501E05" w:rsidRDefault="00CF172C" w:rsidP="00501E05">
      <w:pPr>
        <w:spacing w:after="120"/>
        <w:ind w:firstLine="426"/>
        <w:jc w:val="both"/>
        <w:rPr>
          <w:rFonts w:ascii="Bookman Old Style" w:hAnsi="Bookman Old Style"/>
          <w:sz w:val="22"/>
          <w:szCs w:val="22"/>
        </w:rPr>
      </w:pPr>
      <w:r w:rsidRPr="00501E05">
        <w:rPr>
          <w:rFonts w:ascii="Bookman Old Style" w:hAnsi="Bookman Old Style"/>
          <w:b/>
          <w:bCs/>
          <w:sz w:val="22"/>
          <w:szCs w:val="22"/>
        </w:rPr>
        <w:t xml:space="preserve">Аделина </w:t>
      </w:r>
      <w:r w:rsidR="00501E05">
        <w:rPr>
          <w:rFonts w:ascii="Bookman Old Style" w:hAnsi="Bookman Old Style"/>
          <w:b/>
          <w:bCs/>
          <w:sz w:val="22"/>
          <w:szCs w:val="22"/>
        </w:rPr>
        <w:t>Стоянова -</w:t>
      </w:r>
      <w:r w:rsidRPr="00501E05">
        <w:rPr>
          <w:rFonts w:ascii="Bookman Old Style" w:hAnsi="Bookman Old Style"/>
          <w:b/>
          <w:bCs/>
          <w:sz w:val="22"/>
          <w:szCs w:val="22"/>
        </w:rPr>
        <w:t xml:space="preserve"> директор на Дирекция „Директни плащания“, МЗХ</w:t>
      </w:r>
      <w:r w:rsidR="00501E05">
        <w:rPr>
          <w:rFonts w:ascii="Bookman Old Style" w:hAnsi="Bookman Old Style"/>
          <w:b/>
          <w:bCs/>
          <w:sz w:val="22"/>
          <w:szCs w:val="22"/>
        </w:rPr>
        <w:t xml:space="preserve">, </w:t>
      </w:r>
      <w:r w:rsidRPr="00501E05">
        <w:rPr>
          <w:rFonts w:ascii="Bookman Old Style" w:hAnsi="Bookman Old Style"/>
          <w:sz w:val="22"/>
          <w:szCs w:val="22"/>
        </w:rPr>
        <w:t xml:space="preserve">представи подробно интервенциите в новата ОСП </w:t>
      </w:r>
      <w:r w:rsidR="00501E05">
        <w:rPr>
          <w:rFonts w:ascii="Bookman Old Style" w:hAnsi="Bookman Old Style"/>
          <w:sz w:val="22"/>
          <w:szCs w:val="22"/>
        </w:rPr>
        <w:t>по</w:t>
      </w:r>
      <w:r w:rsidRPr="00501E05">
        <w:rPr>
          <w:rFonts w:ascii="Bookman Old Style" w:hAnsi="Bookman Old Style"/>
          <w:sz w:val="22"/>
          <w:szCs w:val="22"/>
        </w:rPr>
        <w:t xml:space="preserve"> няколко направления: необвързани с производството плащания (базово плащане, преразпределително, за малки и млади), обвързана подкрепа, както и комбинация от интервенции за зърнопроизводители, за трайни насаждения, за плодове и зеленчуци, и за животновъди. </w:t>
      </w:r>
    </w:p>
    <w:p w14:paraId="298B0767" w14:textId="77777777" w:rsidR="00501E05" w:rsidRDefault="00CF172C" w:rsidP="00501E05">
      <w:pPr>
        <w:spacing w:after="120"/>
        <w:ind w:firstLine="426"/>
        <w:jc w:val="both"/>
        <w:rPr>
          <w:rFonts w:ascii="Bookman Old Style" w:hAnsi="Bookman Old Style"/>
          <w:sz w:val="22"/>
          <w:szCs w:val="22"/>
        </w:rPr>
      </w:pPr>
      <w:r w:rsidRPr="00501E05">
        <w:rPr>
          <w:rFonts w:ascii="Bookman Old Style" w:hAnsi="Bookman Old Style"/>
          <w:sz w:val="22"/>
          <w:szCs w:val="22"/>
        </w:rPr>
        <w:t xml:space="preserve">По необвързаните с производството интервенции процедурата по подпомагане за малки земеделски стопани е улеснена. Те са изключени от общата група фермери, които подлежат на проверки, свързани с предварителната условност (ДЗЕС стандартите). За минимум 5-декарово стопанство получават до 1250 евро, но при условие, че заявят единствено тази помощ. </w:t>
      </w:r>
    </w:p>
    <w:p w14:paraId="2E5EC58F" w14:textId="7F56370E" w:rsidR="00CF172C" w:rsidRPr="00501E05" w:rsidRDefault="00CF172C" w:rsidP="00501E05">
      <w:pPr>
        <w:spacing w:after="120"/>
        <w:ind w:firstLine="426"/>
        <w:jc w:val="both"/>
        <w:rPr>
          <w:rFonts w:ascii="Bookman Old Style" w:hAnsi="Bookman Old Style"/>
          <w:sz w:val="22"/>
          <w:szCs w:val="22"/>
        </w:rPr>
      </w:pPr>
      <w:r w:rsidRPr="00501E05">
        <w:rPr>
          <w:rFonts w:ascii="Bookman Old Style" w:hAnsi="Bookman Old Style"/>
          <w:sz w:val="22"/>
          <w:szCs w:val="22"/>
        </w:rPr>
        <w:t>Тъй като средствата от земеделие не могат да достигнат средното ниво в ЕС, при мнозина те са допълващ доход. Поради тази причина</w:t>
      </w:r>
      <w:r w:rsidR="00501E05">
        <w:rPr>
          <w:rFonts w:ascii="Bookman Old Style" w:hAnsi="Bookman Old Style"/>
          <w:sz w:val="22"/>
          <w:szCs w:val="22"/>
        </w:rPr>
        <w:t>,</w:t>
      </w:r>
      <w:r w:rsidRPr="00501E05">
        <w:rPr>
          <w:rFonts w:ascii="Bookman Old Style" w:hAnsi="Bookman Old Style"/>
          <w:sz w:val="22"/>
          <w:szCs w:val="22"/>
        </w:rPr>
        <w:t xml:space="preserve"> има преразпределително плащане към малки и средни, които да подкрепят дохода им.</w:t>
      </w:r>
      <w:r w:rsidR="00501E05">
        <w:rPr>
          <w:rFonts w:ascii="Bookman Old Style" w:hAnsi="Bookman Old Style"/>
          <w:sz w:val="22"/>
          <w:szCs w:val="22"/>
        </w:rPr>
        <w:t xml:space="preserve"> </w:t>
      </w:r>
      <w:r w:rsidRPr="00501E05">
        <w:rPr>
          <w:rFonts w:ascii="Bookman Old Style" w:hAnsi="Bookman Old Style"/>
          <w:sz w:val="22"/>
          <w:szCs w:val="22"/>
        </w:rPr>
        <w:t>То е за първите 30 ха, при стопанство до 600 ха. Горната граница е такава, защото анализът на структурата на земеделските стопанства у нас показа, че средният размер в зърнопроизводството е около 600 ха.</w:t>
      </w:r>
    </w:p>
    <w:p w14:paraId="04CDBB1F" w14:textId="1FEBD7A7" w:rsidR="00CF172C" w:rsidRPr="00501E05" w:rsidRDefault="00CF172C" w:rsidP="00501E05">
      <w:pPr>
        <w:spacing w:after="120"/>
        <w:ind w:firstLine="426"/>
        <w:jc w:val="both"/>
        <w:rPr>
          <w:rFonts w:ascii="Bookman Old Style" w:hAnsi="Bookman Old Style"/>
          <w:sz w:val="22"/>
          <w:szCs w:val="22"/>
        </w:rPr>
      </w:pPr>
      <w:r w:rsidRPr="00501E05">
        <w:rPr>
          <w:rFonts w:ascii="Bookman Old Style" w:hAnsi="Bookman Old Style"/>
          <w:sz w:val="22"/>
          <w:szCs w:val="22"/>
        </w:rPr>
        <w:t>Младите фермери, както и приемствеността между поколенията също са във фокуса на новата европолитика. Затова</w:t>
      </w:r>
      <w:r w:rsidR="00501E05">
        <w:rPr>
          <w:rFonts w:ascii="Bookman Old Style" w:hAnsi="Bookman Old Style"/>
          <w:sz w:val="22"/>
          <w:szCs w:val="22"/>
        </w:rPr>
        <w:t>,</w:t>
      </w:r>
      <w:r w:rsidRPr="00501E05">
        <w:rPr>
          <w:rFonts w:ascii="Bookman Old Style" w:hAnsi="Bookman Old Style"/>
          <w:sz w:val="22"/>
          <w:szCs w:val="22"/>
        </w:rPr>
        <w:t xml:space="preserve"> например</w:t>
      </w:r>
      <w:r w:rsidR="00501E05">
        <w:rPr>
          <w:rFonts w:ascii="Bookman Old Style" w:hAnsi="Bookman Old Style"/>
          <w:sz w:val="22"/>
          <w:szCs w:val="22"/>
        </w:rPr>
        <w:t>,</w:t>
      </w:r>
      <w:r w:rsidRPr="00501E05">
        <w:rPr>
          <w:rFonts w:ascii="Bookman Old Style" w:hAnsi="Bookman Old Style"/>
          <w:sz w:val="22"/>
          <w:szCs w:val="22"/>
        </w:rPr>
        <w:t xml:space="preserve"> най-малко 3% от директните плащания трябва да отиват за младите стопани, като индикативната ставка е 100 евро на ха за цялата площ без значение от големината на стопанство.</w:t>
      </w:r>
    </w:p>
    <w:p w14:paraId="4344668B" w14:textId="6DFCE9C9" w:rsidR="00CF172C" w:rsidRPr="00501E05" w:rsidRDefault="00CF172C" w:rsidP="00501E05">
      <w:pPr>
        <w:spacing w:after="120"/>
        <w:ind w:firstLine="426"/>
        <w:jc w:val="both"/>
        <w:rPr>
          <w:rFonts w:ascii="Bookman Old Style" w:hAnsi="Bookman Old Style"/>
          <w:sz w:val="22"/>
          <w:szCs w:val="22"/>
        </w:rPr>
      </w:pPr>
      <w:r w:rsidRPr="00501E05">
        <w:rPr>
          <w:rFonts w:ascii="Bookman Old Style" w:hAnsi="Bookman Old Style"/>
          <w:sz w:val="22"/>
          <w:szCs w:val="22"/>
        </w:rPr>
        <w:lastRenderedPageBreak/>
        <w:t>От 2023 г. млади земеделски стопани са всички физически лица, ЕТ или управителите на ЕООД до 40 г., като стопанството им трябва да е създадено до максимум преди 5 години. Нужно е те да притежават квалификация и умения. Това означава завършено образование в областта на земеделие или курсове в рамките на минимум 150 часа за придобиване на компетенции в областта. Не се разглежда трудов стаж. Младите, които до момента са получавали подпомагане, могат и през този програмен период да продължат, но в рамките на общо до 5 години. Т.е., ако сте получавали подпомагане през 2021 и 2022 г., можете да получите за още 3 години. Счита се, че за 5 години младият е придобил базова устойчивост, за да може да продължи самостоятелно без наличието на тази подкрепа.</w:t>
      </w:r>
    </w:p>
    <w:p w14:paraId="482AB548" w14:textId="794BDCD5" w:rsidR="0055671C" w:rsidRPr="00501E05" w:rsidRDefault="0055671C" w:rsidP="00501E05">
      <w:pPr>
        <w:spacing w:after="120"/>
        <w:ind w:firstLine="426"/>
        <w:jc w:val="both"/>
        <w:rPr>
          <w:rFonts w:ascii="Bookman Old Style" w:hAnsi="Bookman Old Style"/>
          <w:sz w:val="22"/>
          <w:szCs w:val="22"/>
        </w:rPr>
      </w:pPr>
      <w:r w:rsidRPr="00501E05">
        <w:rPr>
          <w:rFonts w:ascii="Bookman Old Style" w:hAnsi="Bookman Old Style"/>
          <w:b/>
          <w:bCs/>
          <w:sz w:val="22"/>
          <w:szCs w:val="22"/>
        </w:rPr>
        <w:t>Д-р Кирил Стоянов от Дирекция „Поземлени отношения и комасация“</w:t>
      </w:r>
      <w:r w:rsidRPr="00501E05">
        <w:rPr>
          <w:rFonts w:ascii="Bookman Old Style" w:hAnsi="Bookman Old Style"/>
          <w:sz w:val="22"/>
          <w:szCs w:val="22"/>
        </w:rPr>
        <w:t xml:space="preserve"> към МЗХ сподели пред участниците във форума</w:t>
      </w:r>
      <w:r w:rsidR="007A0C48" w:rsidRPr="00501E05">
        <w:rPr>
          <w:rFonts w:ascii="Bookman Old Style" w:hAnsi="Bookman Old Style"/>
          <w:sz w:val="22"/>
          <w:szCs w:val="22"/>
        </w:rPr>
        <w:t xml:space="preserve"> за</w:t>
      </w:r>
      <w:r w:rsidRPr="00501E05">
        <w:rPr>
          <w:rFonts w:ascii="Bookman Old Style" w:hAnsi="Bookman Old Style"/>
          <w:sz w:val="22"/>
          <w:szCs w:val="22"/>
        </w:rPr>
        <w:t xml:space="preserve"> съществуващите проблеми, предизвикани от прилагането на Закона за кадастъра и имотния регистър и подзаконовата нормативно уредба, касаещи принудителното отчуждаване и учредяване на сервитута на земеделските имоти</w:t>
      </w:r>
      <w:r w:rsidR="007A0C48" w:rsidRPr="00501E05">
        <w:rPr>
          <w:rFonts w:ascii="Bookman Old Style" w:hAnsi="Bookman Old Style"/>
          <w:sz w:val="22"/>
          <w:szCs w:val="22"/>
        </w:rPr>
        <w:t xml:space="preserve"> и нарушаващите правата на собствениците на земеделски земи в Република България и подчерта, че в лицето на МЗХ българските земеделци ще получат пълно съдействие за решението на нередностите.</w:t>
      </w:r>
    </w:p>
    <w:p w14:paraId="10B2F559" w14:textId="77777777" w:rsidR="008352F4" w:rsidRPr="00B3335F" w:rsidRDefault="008352F4" w:rsidP="006F1855">
      <w:pPr>
        <w:pStyle w:val="Heading1"/>
      </w:pPr>
      <w:bookmarkStart w:id="6" w:name="_Toc137200645"/>
      <w:r w:rsidRPr="00B3335F">
        <w:t>Годишни награди на БАСЗЗ</w:t>
      </w:r>
      <w:bookmarkEnd w:id="6"/>
    </w:p>
    <w:p w14:paraId="3C7B0291" w14:textId="77777777" w:rsidR="0076317E" w:rsidRPr="00B3335F" w:rsidRDefault="0076317E" w:rsidP="0076317E">
      <w:pPr>
        <w:spacing w:after="120"/>
        <w:ind w:firstLine="426"/>
        <w:jc w:val="both"/>
        <w:rPr>
          <w:rFonts w:ascii="Bookman Old Style" w:hAnsi="Bookman Old Style"/>
          <w:sz w:val="22"/>
        </w:rPr>
      </w:pPr>
      <w:r w:rsidRPr="00B3335F">
        <w:rPr>
          <w:rFonts w:ascii="Bookman Old Style" w:hAnsi="Bookman Old Style"/>
          <w:sz w:val="22"/>
        </w:rPr>
        <w:t xml:space="preserve">Работната дискусия в Казанлъшки минерални бани приключи с </w:t>
      </w:r>
      <w:r w:rsidRPr="00B3335F">
        <w:rPr>
          <w:rFonts w:ascii="Bookman Old Style" w:hAnsi="Bookman Old Style"/>
          <w:b/>
          <w:sz w:val="22"/>
        </w:rPr>
        <w:t xml:space="preserve">тържествено </w:t>
      </w:r>
      <w:r w:rsidR="006E059C" w:rsidRPr="00B3335F">
        <w:rPr>
          <w:rFonts w:ascii="Bookman Old Style" w:hAnsi="Bookman Old Style"/>
          <w:b/>
          <w:sz w:val="22"/>
        </w:rPr>
        <w:t>в</w:t>
      </w:r>
      <w:r w:rsidRPr="00B3335F">
        <w:rPr>
          <w:rFonts w:ascii="Bookman Old Style" w:hAnsi="Bookman Old Style"/>
          <w:b/>
          <w:sz w:val="22"/>
        </w:rPr>
        <w:t>ръчване на традиционните годишни награди на БАСЗЗ,</w:t>
      </w:r>
      <w:r w:rsidRPr="00B3335F">
        <w:rPr>
          <w:rFonts w:ascii="Bookman Old Style" w:hAnsi="Bookman Old Style"/>
          <w:sz w:val="22"/>
        </w:rPr>
        <w:t xml:space="preserve"> които се присъждат за принос към развитието на селското стопанство, през призмата на поземлените отношения, в три категории – за член на БАСЗЗ, за представител на научната общност в областта на аграрните науки и за журналист с ресор „Земеделие“. </w:t>
      </w:r>
    </w:p>
    <w:p w14:paraId="561E4719" w14:textId="77777777" w:rsidR="0076317E" w:rsidRPr="00B3335F" w:rsidRDefault="0076317E" w:rsidP="0076317E">
      <w:pPr>
        <w:spacing w:after="120"/>
        <w:ind w:firstLine="426"/>
        <w:jc w:val="both"/>
        <w:rPr>
          <w:rFonts w:ascii="Bookman Old Style" w:hAnsi="Bookman Old Style"/>
          <w:sz w:val="22"/>
        </w:rPr>
      </w:pPr>
      <w:r w:rsidRPr="00B3335F">
        <w:rPr>
          <w:rFonts w:ascii="Bookman Old Style" w:hAnsi="Bookman Old Style"/>
          <w:sz w:val="22"/>
        </w:rPr>
        <w:t xml:space="preserve">През тази година носители на отличията в трите категории </w:t>
      </w:r>
      <w:r w:rsidR="00EF7790" w:rsidRPr="00B3335F">
        <w:rPr>
          <w:rFonts w:ascii="Bookman Old Style" w:hAnsi="Bookman Old Style"/>
          <w:sz w:val="22"/>
        </w:rPr>
        <w:t>са</w:t>
      </w:r>
      <w:r w:rsidRPr="00B3335F">
        <w:rPr>
          <w:rFonts w:ascii="Bookman Old Style" w:hAnsi="Bookman Old Style"/>
          <w:sz w:val="22"/>
        </w:rPr>
        <w:t>, съответно: Евгений Орашъков - член на Управителния съвет на БАСЗЗ, проф. дн инж. Мартин Димитров Банов - председател на Селскостопанска академия, София, и Мирела Спасова - редактор, репортер и водещ в Агро ТВ.</w:t>
      </w:r>
      <w:r w:rsidR="00EE4A1C" w:rsidRPr="00B3335F">
        <w:rPr>
          <w:rFonts w:ascii="Bookman Old Style" w:hAnsi="Bookman Old Style"/>
          <w:sz w:val="22"/>
        </w:rPr>
        <w:t xml:space="preserve"> Наградите им бяха връчени от председателя на УС на БАСЗЗ Стайко Стайков, </w:t>
      </w:r>
      <w:r w:rsidR="004F50A3" w:rsidRPr="00B3335F">
        <w:rPr>
          <w:rFonts w:ascii="Bookman Old Style" w:hAnsi="Bookman Old Style"/>
          <w:sz w:val="22"/>
        </w:rPr>
        <w:t xml:space="preserve">Георги Балджиев </w:t>
      </w:r>
      <w:r w:rsidR="002B097F" w:rsidRPr="00B3335F">
        <w:rPr>
          <w:rFonts w:ascii="Bookman Old Style" w:hAnsi="Bookman Old Style"/>
          <w:sz w:val="22"/>
        </w:rPr>
        <w:t xml:space="preserve">– член на УС на БАСЗЗ, </w:t>
      </w:r>
      <w:r w:rsidR="004F50A3" w:rsidRPr="00B3335F">
        <w:rPr>
          <w:rFonts w:ascii="Bookman Old Style" w:hAnsi="Bookman Old Style"/>
          <w:sz w:val="22"/>
        </w:rPr>
        <w:t xml:space="preserve">и </w:t>
      </w:r>
      <w:r w:rsidR="00EE4A1C" w:rsidRPr="00B3335F">
        <w:rPr>
          <w:rFonts w:ascii="Bookman Old Style" w:hAnsi="Bookman Old Style"/>
          <w:sz w:val="22"/>
        </w:rPr>
        <w:t>Анатоли</w:t>
      </w:r>
      <w:r w:rsidR="004F50A3" w:rsidRPr="00B3335F">
        <w:rPr>
          <w:rFonts w:ascii="Bookman Old Style" w:hAnsi="Bookman Old Style"/>
          <w:sz w:val="22"/>
        </w:rPr>
        <w:t xml:space="preserve"> Георгиев</w:t>
      </w:r>
      <w:r w:rsidR="002B097F" w:rsidRPr="00B3335F">
        <w:rPr>
          <w:rFonts w:ascii="Bookman Old Style" w:hAnsi="Bookman Old Style"/>
          <w:sz w:val="22"/>
        </w:rPr>
        <w:t xml:space="preserve"> – зам.-председател на УС на БАСЗЗ</w:t>
      </w:r>
      <w:r w:rsidR="004F50A3" w:rsidRPr="00B3335F">
        <w:rPr>
          <w:rFonts w:ascii="Bookman Old Style" w:hAnsi="Bookman Old Style"/>
          <w:sz w:val="22"/>
        </w:rPr>
        <w:t>.</w:t>
      </w:r>
    </w:p>
    <w:p w14:paraId="629A5C6D" w14:textId="77777777" w:rsidR="0076317E" w:rsidRPr="00B3335F" w:rsidRDefault="0076317E" w:rsidP="0076317E">
      <w:pPr>
        <w:spacing w:after="120"/>
        <w:jc w:val="both"/>
        <w:rPr>
          <w:rFonts w:ascii="Bookman Old Style" w:hAnsi="Bookman Old Style"/>
          <w:sz w:val="22"/>
          <w:szCs w:val="28"/>
        </w:rPr>
      </w:pPr>
      <w:r w:rsidRPr="00B3335F">
        <w:rPr>
          <w:rFonts w:ascii="Bookman Old Style" w:hAnsi="Bookman Old Style"/>
          <w:b/>
          <w:sz w:val="22"/>
          <w:szCs w:val="28"/>
        </w:rPr>
        <w:t>Евгений Орашъков</w:t>
      </w:r>
      <w:r w:rsidRPr="00B3335F">
        <w:rPr>
          <w:rFonts w:ascii="Bookman Old Style" w:hAnsi="Bookman Old Style"/>
          <w:sz w:val="22"/>
          <w:szCs w:val="28"/>
        </w:rPr>
        <w:t xml:space="preserve"> е учредител на БАСЗЗ през 2007 г., в качеството си на изпълнителен директор и представляващ „Серес“ АД. От 2013 г. г-н Орашъков е управител на „Агро Сантия“ ООД – земеделски производител в Северна България. От края на 2015 г. е управител на „Агро Сип“ ООД – свинеферма в Североизточна България, отглеждаща над 60 000 прасета на година. Евгений Орашъков е и член на СД на „Конекс-Тива“ АД – производител на богат  асортимент от зеленчукови и плодови консерви, които се продават в САЩ, Канада, Европа, Австралия, Нова Зеландия и Южна Африка.</w:t>
      </w:r>
    </w:p>
    <w:p w14:paraId="56D8B356" w14:textId="77777777" w:rsidR="0076317E" w:rsidRPr="00B3335F" w:rsidRDefault="0076317E" w:rsidP="0076317E">
      <w:pPr>
        <w:spacing w:after="120"/>
        <w:jc w:val="both"/>
        <w:rPr>
          <w:rFonts w:ascii="Bookman Old Style" w:hAnsi="Bookman Old Style"/>
          <w:sz w:val="22"/>
          <w:szCs w:val="28"/>
        </w:rPr>
      </w:pPr>
      <w:r w:rsidRPr="00B3335F">
        <w:rPr>
          <w:rFonts w:ascii="Bookman Old Style" w:hAnsi="Bookman Old Style"/>
          <w:b/>
          <w:sz w:val="22"/>
          <w:szCs w:val="28"/>
        </w:rPr>
        <w:t>Проф. дн инж. Мартин Димитров Банов</w:t>
      </w:r>
      <w:r w:rsidRPr="00B3335F">
        <w:rPr>
          <w:rFonts w:ascii="Bookman Old Style" w:hAnsi="Bookman Old Style"/>
          <w:sz w:val="22"/>
          <w:szCs w:val="28"/>
        </w:rPr>
        <w:t xml:space="preserve"> е председател на Селскостопанска академия, София – най-голямата и значима научна структура в сферата на земеделието в България, която се занимава с научни изследвания, научно-приложна, иновационна и образователна дейност. Академията включва в състава си 25 института, 4 научни центъра, 13 опитни станции, център за обучение и Национален земеделски музей. Проф. Банов е автор на повече от 170 научни публикации, 11 монографии, книги и ръководства. Има признати 9 патента за изобретения и полезни модели. Разработил е многобройни проекти за рекултивация на земи и почви, нарушени от антропогенна дейност при добив и преработка на полезни изкопаеми, прокарване на трасета на газопроводи и др. Проф. Банов е преподавател в Геолого-географския факултет на </w:t>
      </w:r>
      <w:r w:rsidRPr="00B3335F">
        <w:rPr>
          <w:rFonts w:ascii="Bookman Old Style" w:hAnsi="Bookman Old Style"/>
          <w:sz w:val="22"/>
          <w:szCs w:val="28"/>
        </w:rPr>
        <w:lastRenderedPageBreak/>
        <w:t>Софийския университет “Св. Климент Охридски” и Минно-геоложкия университет „Св. Иван Рилски“. Ръководител е на шестима докторанти, от които четирима са защитили успешно докторска степен.</w:t>
      </w:r>
    </w:p>
    <w:p w14:paraId="5264E01B" w14:textId="77777777" w:rsidR="0076317E" w:rsidRPr="00B3335F" w:rsidRDefault="0076317E" w:rsidP="0076317E">
      <w:pPr>
        <w:spacing w:after="120"/>
        <w:jc w:val="both"/>
        <w:rPr>
          <w:rFonts w:ascii="Bookman Old Style" w:hAnsi="Bookman Old Style"/>
          <w:sz w:val="18"/>
        </w:rPr>
      </w:pPr>
      <w:r w:rsidRPr="00B3335F">
        <w:rPr>
          <w:rFonts w:ascii="Bookman Old Style" w:hAnsi="Bookman Old Style"/>
          <w:b/>
          <w:sz w:val="22"/>
          <w:szCs w:val="28"/>
        </w:rPr>
        <w:t xml:space="preserve">Мирела Спасова </w:t>
      </w:r>
      <w:r w:rsidRPr="00B3335F">
        <w:rPr>
          <w:rFonts w:ascii="Bookman Old Style" w:hAnsi="Bookman Old Style"/>
          <w:sz w:val="22"/>
          <w:szCs w:val="28"/>
        </w:rPr>
        <w:t>е автор на предаванията “Животновъден дневник”, “Агрополитики”, “Новина плюс” и “Агротема”, както и на десетки публикации в agro.bg и в сп. “Агрокомпас”. Завършва бакалавърска степен със специалност „Журналистика“ във Факултета по журналистика и масова комуникация в Софийския университет (СУ) “Св. Климент Охридски”, както и магистратура „Политология” в СУ. В момента е докторант в Катедра “Връзки с обществеността” в СУ. Започва журналистическата си кариера през 2012 г. в БНТ, преминава през News7, сп. „Мениджър“ и в. „Стопанин”. От 2015 г. до днес е лице на Агро ТВ. В професионалната си практика отразява земеделската тематика, автор е на множество репортажи, филми и статии, които отразяват земеделието, животновъдството, преработвателната промишленост, политиките в сектора, държавните и европейските институции и селскостопанската наука.</w:t>
      </w:r>
    </w:p>
    <w:p w14:paraId="02F63AF0" w14:textId="77777777" w:rsidR="0076317E" w:rsidRPr="00B3335F" w:rsidRDefault="0076317E" w:rsidP="0076317E">
      <w:pPr>
        <w:spacing w:after="120"/>
        <w:ind w:firstLine="426"/>
        <w:jc w:val="both"/>
        <w:rPr>
          <w:rFonts w:ascii="Bookman Old Style" w:hAnsi="Bookman Old Style"/>
          <w:sz w:val="22"/>
        </w:rPr>
      </w:pPr>
    </w:p>
    <w:sectPr w:rsidR="0076317E" w:rsidRPr="00B3335F" w:rsidSect="00311C54">
      <w:headerReference w:type="default" r:id="rId9"/>
      <w:footerReference w:type="default" r:id="rId10"/>
      <w:pgSz w:w="11900" w:h="16840"/>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BA7F8" w14:textId="77777777" w:rsidR="00285632" w:rsidRDefault="00285632" w:rsidP="00707410">
      <w:r>
        <w:separator/>
      </w:r>
    </w:p>
  </w:endnote>
  <w:endnote w:type="continuationSeparator" w:id="0">
    <w:p w14:paraId="14E76441" w14:textId="77777777" w:rsidR="00285632" w:rsidRDefault="00285632" w:rsidP="0070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8609" w14:textId="77777777" w:rsidR="00707410" w:rsidRDefault="001D0034">
    <w:pPr>
      <w:pStyle w:val="Footer"/>
    </w:pPr>
    <w:r>
      <w:rPr>
        <w:noProof/>
        <w:lang w:eastAsia="bg-BG"/>
      </w:rPr>
      <w:drawing>
        <wp:anchor distT="0" distB="0" distL="114300" distR="114300" simplePos="0" relativeHeight="251659264" behindDoc="0" locked="0" layoutInCell="1" allowOverlap="1" wp14:anchorId="2FB9D191" wp14:editId="06A96DE3">
          <wp:simplePos x="0" y="0"/>
          <wp:positionH relativeFrom="margin">
            <wp:posOffset>263525</wp:posOffset>
          </wp:positionH>
          <wp:positionV relativeFrom="margin">
            <wp:posOffset>8651240</wp:posOffset>
          </wp:positionV>
          <wp:extent cx="5805170" cy="663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805170" cy="663575"/>
                  </a:xfrm>
                  <a:prstGeom prst="rect">
                    <a:avLst/>
                  </a:prstGeom>
                </pic:spPr>
              </pic:pic>
            </a:graphicData>
          </a:graphic>
        </wp:anchor>
      </w:drawing>
    </w:r>
    <w:r>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A607" w14:textId="77777777" w:rsidR="00285632" w:rsidRDefault="00285632" w:rsidP="00707410">
      <w:r>
        <w:separator/>
      </w:r>
    </w:p>
  </w:footnote>
  <w:footnote w:type="continuationSeparator" w:id="0">
    <w:p w14:paraId="04935809" w14:textId="77777777" w:rsidR="00285632" w:rsidRDefault="00285632" w:rsidP="00707410">
      <w:r>
        <w:continuationSeparator/>
      </w:r>
    </w:p>
  </w:footnote>
  <w:footnote w:id="1">
    <w:p w14:paraId="2CE95883" w14:textId="77777777" w:rsidR="00127E49" w:rsidRPr="000053DB" w:rsidRDefault="00127E49" w:rsidP="000053DB">
      <w:pPr>
        <w:pStyle w:val="FootnoteText"/>
        <w:jc w:val="both"/>
        <w:rPr>
          <w:rFonts w:ascii="Bookman Old Style" w:hAnsi="Bookman Old Style"/>
          <w:sz w:val="18"/>
        </w:rPr>
      </w:pPr>
      <w:r w:rsidRPr="000053DB">
        <w:rPr>
          <w:rStyle w:val="FootnoteReference"/>
          <w:rFonts w:ascii="Bookman Old Style" w:hAnsi="Bookman Old Style"/>
          <w:sz w:val="18"/>
        </w:rPr>
        <w:footnoteRef/>
      </w:r>
      <w:r w:rsidRPr="000053DB">
        <w:rPr>
          <w:rFonts w:ascii="Bookman Old Style" w:hAnsi="Bookman Old Style"/>
          <w:sz w:val="18"/>
        </w:rPr>
        <w:t xml:space="preserve"> „Фонд за насърчаване на технологичния и екологичен преход на селското стопанство“, инвестиции, свързани с ефективното използване на вода в земеделските стопанства &amp; проект „Дигитализация на процесите от фермата до трапезата“, мрежа за комуникация от полеви и водни сензори</w:t>
      </w:r>
    </w:p>
  </w:footnote>
  <w:footnote w:id="2">
    <w:p w14:paraId="0EF5522A" w14:textId="77777777" w:rsidR="0038794B" w:rsidRPr="000053DB" w:rsidRDefault="0038794B" w:rsidP="0038794B">
      <w:pPr>
        <w:pStyle w:val="FootnoteText"/>
        <w:jc w:val="both"/>
        <w:rPr>
          <w:rFonts w:ascii="Bookman Old Style" w:hAnsi="Bookman Old Style"/>
          <w:sz w:val="18"/>
        </w:rPr>
      </w:pPr>
      <w:r w:rsidRPr="000053DB">
        <w:rPr>
          <w:rStyle w:val="FootnoteReference"/>
          <w:rFonts w:ascii="Bookman Old Style" w:hAnsi="Bookman Old Style"/>
          <w:sz w:val="18"/>
        </w:rPr>
        <w:footnoteRef/>
      </w:r>
      <w:r w:rsidRPr="000053DB">
        <w:rPr>
          <w:rFonts w:ascii="Bookman Old Style" w:hAnsi="Bookman Old Style"/>
          <w:sz w:val="18"/>
        </w:rPr>
        <w:t xml:space="preserve"> Посочените цени важат за обработваема земеделска земя, за сделки на първичен пазар. Данните имат информационно-аналитичен характер и не са препоръка за взимане на инвестиционно решение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1E2B" w14:textId="77777777" w:rsidR="001D0034" w:rsidRDefault="001D0034">
    <w:pPr>
      <w:pStyle w:val="Header"/>
    </w:pPr>
    <w:r>
      <w:rPr>
        <w:noProof/>
        <w:lang w:eastAsia="bg-BG"/>
      </w:rPr>
      <w:drawing>
        <wp:anchor distT="0" distB="0" distL="114300" distR="114300" simplePos="0" relativeHeight="251658240" behindDoc="0" locked="0" layoutInCell="1" allowOverlap="1" wp14:anchorId="7C8104D7" wp14:editId="7CA3B73E">
          <wp:simplePos x="0" y="0"/>
          <wp:positionH relativeFrom="margin">
            <wp:posOffset>578485</wp:posOffset>
          </wp:positionH>
          <wp:positionV relativeFrom="margin">
            <wp:posOffset>-1080770</wp:posOffset>
          </wp:positionV>
          <wp:extent cx="5133975" cy="1075055"/>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33975" cy="1075055"/>
                  </a:xfrm>
                  <a:prstGeom prst="rect">
                    <a:avLst/>
                  </a:prstGeom>
                </pic:spPr>
              </pic:pic>
            </a:graphicData>
          </a:graphic>
        </wp:anchor>
      </w:drawing>
    </w:r>
  </w:p>
  <w:p w14:paraId="7A70156F" w14:textId="77777777" w:rsidR="00707410" w:rsidRDefault="00707410">
    <w:pPr>
      <w:pStyle w:val="Header"/>
    </w:pPr>
  </w:p>
  <w:p w14:paraId="38F33DE8" w14:textId="77777777" w:rsidR="00707410" w:rsidRDefault="00707410">
    <w:pPr>
      <w:pStyle w:val="Header"/>
    </w:pPr>
  </w:p>
  <w:p w14:paraId="669ACD6A" w14:textId="77777777" w:rsidR="001D0034" w:rsidRDefault="001D0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E11"/>
    <w:multiLevelType w:val="hybridMultilevel"/>
    <w:tmpl w:val="2ED27704"/>
    <w:lvl w:ilvl="0" w:tplc="B4E2E0F6">
      <w:start w:val="1"/>
      <w:numFmt w:val="decimal"/>
      <w:lvlText w:val="%1."/>
      <w:lvlJc w:val="left"/>
      <w:pPr>
        <w:ind w:left="785" w:hanging="360"/>
      </w:pPr>
      <w:rPr>
        <w:rFonts w:hint="default"/>
      </w:rPr>
    </w:lvl>
    <w:lvl w:ilvl="1" w:tplc="BF4EA41E">
      <w:start w:val="1"/>
      <w:numFmt w:val="bullet"/>
      <w:lvlText w:val=""/>
      <w:lvlJc w:val="left"/>
      <w:pPr>
        <w:ind w:left="1505" w:hanging="360"/>
      </w:pPr>
      <w:rPr>
        <w:rFonts w:ascii="Symbol" w:hAnsi="Symbol" w:hint="default"/>
        <w:color w:val="auto"/>
      </w:r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 w15:restartNumberingAfterBreak="0">
    <w:nsid w:val="0A8F4861"/>
    <w:multiLevelType w:val="hybridMultilevel"/>
    <w:tmpl w:val="06D4364E"/>
    <w:lvl w:ilvl="0" w:tplc="BF4EA41E">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A85222D"/>
    <w:multiLevelType w:val="hybridMultilevel"/>
    <w:tmpl w:val="95521802"/>
    <w:lvl w:ilvl="0" w:tplc="BF4EA41E">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15:restartNumberingAfterBreak="0">
    <w:nsid w:val="1B775D00"/>
    <w:multiLevelType w:val="hybridMultilevel"/>
    <w:tmpl w:val="C938F31E"/>
    <w:lvl w:ilvl="0" w:tplc="BF4EA41E">
      <w:start w:val="1"/>
      <w:numFmt w:val="bullet"/>
      <w:lvlText w:val=""/>
      <w:lvlJc w:val="left"/>
      <w:pPr>
        <w:ind w:left="1212" w:hanging="360"/>
      </w:pPr>
      <w:rPr>
        <w:rFonts w:ascii="Symbol" w:hAnsi="Symbol" w:hint="default"/>
        <w:color w:val="auto"/>
      </w:rPr>
    </w:lvl>
    <w:lvl w:ilvl="1" w:tplc="04020003" w:tentative="1">
      <w:start w:val="1"/>
      <w:numFmt w:val="bullet"/>
      <w:lvlText w:val="o"/>
      <w:lvlJc w:val="left"/>
      <w:pPr>
        <w:ind w:left="1932" w:hanging="360"/>
      </w:pPr>
      <w:rPr>
        <w:rFonts w:ascii="Courier New" w:hAnsi="Courier New" w:cs="Courier New" w:hint="default"/>
      </w:rPr>
    </w:lvl>
    <w:lvl w:ilvl="2" w:tplc="04020005" w:tentative="1">
      <w:start w:val="1"/>
      <w:numFmt w:val="bullet"/>
      <w:lvlText w:val=""/>
      <w:lvlJc w:val="left"/>
      <w:pPr>
        <w:ind w:left="2652" w:hanging="360"/>
      </w:pPr>
      <w:rPr>
        <w:rFonts w:ascii="Wingdings" w:hAnsi="Wingdings" w:hint="default"/>
      </w:rPr>
    </w:lvl>
    <w:lvl w:ilvl="3" w:tplc="04020001" w:tentative="1">
      <w:start w:val="1"/>
      <w:numFmt w:val="bullet"/>
      <w:lvlText w:val=""/>
      <w:lvlJc w:val="left"/>
      <w:pPr>
        <w:ind w:left="3372" w:hanging="360"/>
      </w:pPr>
      <w:rPr>
        <w:rFonts w:ascii="Symbol" w:hAnsi="Symbol" w:hint="default"/>
      </w:rPr>
    </w:lvl>
    <w:lvl w:ilvl="4" w:tplc="04020003" w:tentative="1">
      <w:start w:val="1"/>
      <w:numFmt w:val="bullet"/>
      <w:lvlText w:val="o"/>
      <w:lvlJc w:val="left"/>
      <w:pPr>
        <w:ind w:left="4092" w:hanging="360"/>
      </w:pPr>
      <w:rPr>
        <w:rFonts w:ascii="Courier New" w:hAnsi="Courier New" w:cs="Courier New" w:hint="default"/>
      </w:rPr>
    </w:lvl>
    <w:lvl w:ilvl="5" w:tplc="04020005" w:tentative="1">
      <w:start w:val="1"/>
      <w:numFmt w:val="bullet"/>
      <w:lvlText w:val=""/>
      <w:lvlJc w:val="left"/>
      <w:pPr>
        <w:ind w:left="4812" w:hanging="360"/>
      </w:pPr>
      <w:rPr>
        <w:rFonts w:ascii="Wingdings" w:hAnsi="Wingdings" w:hint="default"/>
      </w:rPr>
    </w:lvl>
    <w:lvl w:ilvl="6" w:tplc="04020001" w:tentative="1">
      <w:start w:val="1"/>
      <w:numFmt w:val="bullet"/>
      <w:lvlText w:val=""/>
      <w:lvlJc w:val="left"/>
      <w:pPr>
        <w:ind w:left="5532" w:hanging="360"/>
      </w:pPr>
      <w:rPr>
        <w:rFonts w:ascii="Symbol" w:hAnsi="Symbol" w:hint="default"/>
      </w:rPr>
    </w:lvl>
    <w:lvl w:ilvl="7" w:tplc="04020003" w:tentative="1">
      <w:start w:val="1"/>
      <w:numFmt w:val="bullet"/>
      <w:lvlText w:val="o"/>
      <w:lvlJc w:val="left"/>
      <w:pPr>
        <w:ind w:left="6252" w:hanging="360"/>
      </w:pPr>
      <w:rPr>
        <w:rFonts w:ascii="Courier New" w:hAnsi="Courier New" w:cs="Courier New" w:hint="default"/>
      </w:rPr>
    </w:lvl>
    <w:lvl w:ilvl="8" w:tplc="04020005" w:tentative="1">
      <w:start w:val="1"/>
      <w:numFmt w:val="bullet"/>
      <w:lvlText w:val=""/>
      <w:lvlJc w:val="left"/>
      <w:pPr>
        <w:ind w:left="6972" w:hanging="360"/>
      </w:pPr>
      <w:rPr>
        <w:rFonts w:ascii="Wingdings" w:hAnsi="Wingdings" w:hint="default"/>
      </w:rPr>
    </w:lvl>
  </w:abstractNum>
  <w:abstractNum w:abstractNumId="4" w15:restartNumberingAfterBreak="0">
    <w:nsid w:val="40E71CE2"/>
    <w:multiLevelType w:val="hybridMultilevel"/>
    <w:tmpl w:val="8A86CC12"/>
    <w:lvl w:ilvl="0" w:tplc="8DC8C2E2">
      <w:start w:val="1"/>
      <w:numFmt w:val="bullet"/>
      <w:lvlText w:val=""/>
      <w:lvlJc w:val="left"/>
      <w:pPr>
        <w:tabs>
          <w:tab w:val="num" w:pos="720"/>
        </w:tabs>
        <w:ind w:left="720" w:hanging="360"/>
      </w:pPr>
      <w:rPr>
        <w:rFonts w:ascii="Wingdings" w:hAnsi="Wingdings" w:hint="default"/>
      </w:rPr>
    </w:lvl>
    <w:lvl w:ilvl="1" w:tplc="E9944FAA" w:tentative="1">
      <w:start w:val="1"/>
      <w:numFmt w:val="bullet"/>
      <w:lvlText w:val=""/>
      <w:lvlJc w:val="left"/>
      <w:pPr>
        <w:tabs>
          <w:tab w:val="num" w:pos="1440"/>
        </w:tabs>
        <w:ind w:left="1440" w:hanging="360"/>
      </w:pPr>
      <w:rPr>
        <w:rFonts w:ascii="Wingdings" w:hAnsi="Wingdings" w:hint="default"/>
      </w:rPr>
    </w:lvl>
    <w:lvl w:ilvl="2" w:tplc="C4F80C02" w:tentative="1">
      <w:start w:val="1"/>
      <w:numFmt w:val="bullet"/>
      <w:lvlText w:val=""/>
      <w:lvlJc w:val="left"/>
      <w:pPr>
        <w:tabs>
          <w:tab w:val="num" w:pos="2160"/>
        </w:tabs>
        <w:ind w:left="2160" w:hanging="360"/>
      </w:pPr>
      <w:rPr>
        <w:rFonts w:ascii="Wingdings" w:hAnsi="Wingdings" w:hint="default"/>
      </w:rPr>
    </w:lvl>
    <w:lvl w:ilvl="3" w:tplc="21728BA4" w:tentative="1">
      <w:start w:val="1"/>
      <w:numFmt w:val="bullet"/>
      <w:lvlText w:val=""/>
      <w:lvlJc w:val="left"/>
      <w:pPr>
        <w:tabs>
          <w:tab w:val="num" w:pos="2880"/>
        </w:tabs>
        <w:ind w:left="2880" w:hanging="360"/>
      </w:pPr>
      <w:rPr>
        <w:rFonts w:ascii="Wingdings" w:hAnsi="Wingdings" w:hint="default"/>
      </w:rPr>
    </w:lvl>
    <w:lvl w:ilvl="4" w:tplc="ABB24F24" w:tentative="1">
      <w:start w:val="1"/>
      <w:numFmt w:val="bullet"/>
      <w:lvlText w:val=""/>
      <w:lvlJc w:val="left"/>
      <w:pPr>
        <w:tabs>
          <w:tab w:val="num" w:pos="3600"/>
        </w:tabs>
        <w:ind w:left="3600" w:hanging="360"/>
      </w:pPr>
      <w:rPr>
        <w:rFonts w:ascii="Wingdings" w:hAnsi="Wingdings" w:hint="default"/>
      </w:rPr>
    </w:lvl>
    <w:lvl w:ilvl="5" w:tplc="A3244A8A" w:tentative="1">
      <w:start w:val="1"/>
      <w:numFmt w:val="bullet"/>
      <w:lvlText w:val=""/>
      <w:lvlJc w:val="left"/>
      <w:pPr>
        <w:tabs>
          <w:tab w:val="num" w:pos="4320"/>
        </w:tabs>
        <w:ind w:left="4320" w:hanging="360"/>
      </w:pPr>
      <w:rPr>
        <w:rFonts w:ascii="Wingdings" w:hAnsi="Wingdings" w:hint="default"/>
      </w:rPr>
    </w:lvl>
    <w:lvl w:ilvl="6" w:tplc="0F987C1C" w:tentative="1">
      <w:start w:val="1"/>
      <w:numFmt w:val="bullet"/>
      <w:lvlText w:val=""/>
      <w:lvlJc w:val="left"/>
      <w:pPr>
        <w:tabs>
          <w:tab w:val="num" w:pos="5040"/>
        </w:tabs>
        <w:ind w:left="5040" w:hanging="360"/>
      </w:pPr>
      <w:rPr>
        <w:rFonts w:ascii="Wingdings" w:hAnsi="Wingdings" w:hint="default"/>
      </w:rPr>
    </w:lvl>
    <w:lvl w:ilvl="7" w:tplc="D4487B40" w:tentative="1">
      <w:start w:val="1"/>
      <w:numFmt w:val="bullet"/>
      <w:lvlText w:val=""/>
      <w:lvlJc w:val="left"/>
      <w:pPr>
        <w:tabs>
          <w:tab w:val="num" w:pos="5760"/>
        </w:tabs>
        <w:ind w:left="5760" w:hanging="360"/>
      </w:pPr>
      <w:rPr>
        <w:rFonts w:ascii="Wingdings" w:hAnsi="Wingdings" w:hint="default"/>
      </w:rPr>
    </w:lvl>
    <w:lvl w:ilvl="8" w:tplc="C3A8C0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D11A38"/>
    <w:multiLevelType w:val="hybridMultilevel"/>
    <w:tmpl w:val="170C798C"/>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46E0336B"/>
    <w:multiLevelType w:val="hybridMultilevel"/>
    <w:tmpl w:val="BEE25A04"/>
    <w:lvl w:ilvl="0" w:tplc="BF4EA41E">
      <w:start w:val="1"/>
      <w:numFmt w:val="bullet"/>
      <w:lvlText w:val=""/>
      <w:lvlJc w:val="left"/>
      <w:pPr>
        <w:tabs>
          <w:tab w:val="num" w:pos="720"/>
        </w:tabs>
        <w:ind w:left="720" w:hanging="360"/>
      </w:pPr>
      <w:rPr>
        <w:rFonts w:ascii="Symbol" w:hAnsi="Symbol" w:hint="default"/>
        <w:color w:val="auto"/>
      </w:rPr>
    </w:lvl>
    <w:lvl w:ilvl="1" w:tplc="E9944FAA" w:tentative="1">
      <w:start w:val="1"/>
      <w:numFmt w:val="bullet"/>
      <w:lvlText w:val=""/>
      <w:lvlJc w:val="left"/>
      <w:pPr>
        <w:tabs>
          <w:tab w:val="num" w:pos="1440"/>
        </w:tabs>
        <w:ind w:left="1440" w:hanging="360"/>
      </w:pPr>
      <w:rPr>
        <w:rFonts w:ascii="Wingdings" w:hAnsi="Wingdings" w:hint="default"/>
      </w:rPr>
    </w:lvl>
    <w:lvl w:ilvl="2" w:tplc="C4F80C02" w:tentative="1">
      <w:start w:val="1"/>
      <w:numFmt w:val="bullet"/>
      <w:lvlText w:val=""/>
      <w:lvlJc w:val="left"/>
      <w:pPr>
        <w:tabs>
          <w:tab w:val="num" w:pos="2160"/>
        </w:tabs>
        <w:ind w:left="2160" w:hanging="360"/>
      </w:pPr>
      <w:rPr>
        <w:rFonts w:ascii="Wingdings" w:hAnsi="Wingdings" w:hint="default"/>
      </w:rPr>
    </w:lvl>
    <w:lvl w:ilvl="3" w:tplc="21728BA4" w:tentative="1">
      <w:start w:val="1"/>
      <w:numFmt w:val="bullet"/>
      <w:lvlText w:val=""/>
      <w:lvlJc w:val="left"/>
      <w:pPr>
        <w:tabs>
          <w:tab w:val="num" w:pos="2880"/>
        </w:tabs>
        <w:ind w:left="2880" w:hanging="360"/>
      </w:pPr>
      <w:rPr>
        <w:rFonts w:ascii="Wingdings" w:hAnsi="Wingdings" w:hint="default"/>
      </w:rPr>
    </w:lvl>
    <w:lvl w:ilvl="4" w:tplc="ABB24F24" w:tentative="1">
      <w:start w:val="1"/>
      <w:numFmt w:val="bullet"/>
      <w:lvlText w:val=""/>
      <w:lvlJc w:val="left"/>
      <w:pPr>
        <w:tabs>
          <w:tab w:val="num" w:pos="3600"/>
        </w:tabs>
        <w:ind w:left="3600" w:hanging="360"/>
      </w:pPr>
      <w:rPr>
        <w:rFonts w:ascii="Wingdings" w:hAnsi="Wingdings" w:hint="default"/>
      </w:rPr>
    </w:lvl>
    <w:lvl w:ilvl="5" w:tplc="A3244A8A" w:tentative="1">
      <w:start w:val="1"/>
      <w:numFmt w:val="bullet"/>
      <w:lvlText w:val=""/>
      <w:lvlJc w:val="left"/>
      <w:pPr>
        <w:tabs>
          <w:tab w:val="num" w:pos="4320"/>
        </w:tabs>
        <w:ind w:left="4320" w:hanging="360"/>
      </w:pPr>
      <w:rPr>
        <w:rFonts w:ascii="Wingdings" w:hAnsi="Wingdings" w:hint="default"/>
      </w:rPr>
    </w:lvl>
    <w:lvl w:ilvl="6" w:tplc="0F987C1C" w:tentative="1">
      <w:start w:val="1"/>
      <w:numFmt w:val="bullet"/>
      <w:lvlText w:val=""/>
      <w:lvlJc w:val="left"/>
      <w:pPr>
        <w:tabs>
          <w:tab w:val="num" w:pos="5040"/>
        </w:tabs>
        <w:ind w:left="5040" w:hanging="360"/>
      </w:pPr>
      <w:rPr>
        <w:rFonts w:ascii="Wingdings" w:hAnsi="Wingdings" w:hint="default"/>
      </w:rPr>
    </w:lvl>
    <w:lvl w:ilvl="7" w:tplc="D4487B40" w:tentative="1">
      <w:start w:val="1"/>
      <w:numFmt w:val="bullet"/>
      <w:lvlText w:val=""/>
      <w:lvlJc w:val="left"/>
      <w:pPr>
        <w:tabs>
          <w:tab w:val="num" w:pos="5760"/>
        </w:tabs>
        <w:ind w:left="5760" w:hanging="360"/>
      </w:pPr>
      <w:rPr>
        <w:rFonts w:ascii="Wingdings" w:hAnsi="Wingdings" w:hint="default"/>
      </w:rPr>
    </w:lvl>
    <w:lvl w:ilvl="8" w:tplc="C3A8C0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014BDB"/>
    <w:multiLevelType w:val="hybridMultilevel"/>
    <w:tmpl w:val="CBAE4C78"/>
    <w:lvl w:ilvl="0" w:tplc="BF4EA4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95250A"/>
    <w:multiLevelType w:val="hybridMultilevel"/>
    <w:tmpl w:val="64D25B1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14493B"/>
    <w:multiLevelType w:val="hybridMultilevel"/>
    <w:tmpl w:val="2C04E572"/>
    <w:lvl w:ilvl="0" w:tplc="0AAA926C">
      <w:start w:val="1"/>
      <w:numFmt w:val="bullet"/>
      <w:lvlText w:val=""/>
      <w:lvlJc w:val="left"/>
      <w:pPr>
        <w:tabs>
          <w:tab w:val="num" w:pos="720"/>
        </w:tabs>
        <w:ind w:left="720" w:hanging="360"/>
      </w:pPr>
      <w:rPr>
        <w:rFonts w:ascii="Wingdings" w:hAnsi="Wingdings" w:hint="default"/>
      </w:rPr>
    </w:lvl>
    <w:lvl w:ilvl="1" w:tplc="C98C7F78" w:tentative="1">
      <w:start w:val="1"/>
      <w:numFmt w:val="bullet"/>
      <w:lvlText w:val=""/>
      <w:lvlJc w:val="left"/>
      <w:pPr>
        <w:tabs>
          <w:tab w:val="num" w:pos="1440"/>
        </w:tabs>
        <w:ind w:left="1440" w:hanging="360"/>
      </w:pPr>
      <w:rPr>
        <w:rFonts w:ascii="Wingdings" w:hAnsi="Wingdings" w:hint="default"/>
      </w:rPr>
    </w:lvl>
    <w:lvl w:ilvl="2" w:tplc="7C4E1F14" w:tentative="1">
      <w:start w:val="1"/>
      <w:numFmt w:val="bullet"/>
      <w:lvlText w:val=""/>
      <w:lvlJc w:val="left"/>
      <w:pPr>
        <w:tabs>
          <w:tab w:val="num" w:pos="2160"/>
        </w:tabs>
        <w:ind w:left="2160" w:hanging="360"/>
      </w:pPr>
      <w:rPr>
        <w:rFonts w:ascii="Wingdings" w:hAnsi="Wingdings" w:hint="default"/>
      </w:rPr>
    </w:lvl>
    <w:lvl w:ilvl="3" w:tplc="86BC7FD0" w:tentative="1">
      <w:start w:val="1"/>
      <w:numFmt w:val="bullet"/>
      <w:lvlText w:val=""/>
      <w:lvlJc w:val="left"/>
      <w:pPr>
        <w:tabs>
          <w:tab w:val="num" w:pos="2880"/>
        </w:tabs>
        <w:ind w:left="2880" w:hanging="360"/>
      </w:pPr>
      <w:rPr>
        <w:rFonts w:ascii="Wingdings" w:hAnsi="Wingdings" w:hint="default"/>
      </w:rPr>
    </w:lvl>
    <w:lvl w:ilvl="4" w:tplc="DB0C0490" w:tentative="1">
      <w:start w:val="1"/>
      <w:numFmt w:val="bullet"/>
      <w:lvlText w:val=""/>
      <w:lvlJc w:val="left"/>
      <w:pPr>
        <w:tabs>
          <w:tab w:val="num" w:pos="3600"/>
        </w:tabs>
        <w:ind w:left="3600" w:hanging="360"/>
      </w:pPr>
      <w:rPr>
        <w:rFonts w:ascii="Wingdings" w:hAnsi="Wingdings" w:hint="default"/>
      </w:rPr>
    </w:lvl>
    <w:lvl w:ilvl="5" w:tplc="6A047B3A" w:tentative="1">
      <w:start w:val="1"/>
      <w:numFmt w:val="bullet"/>
      <w:lvlText w:val=""/>
      <w:lvlJc w:val="left"/>
      <w:pPr>
        <w:tabs>
          <w:tab w:val="num" w:pos="4320"/>
        </w:tabs>
        <w:ind w:left="4320" w:hanging="360"/>
      </w:pPr>
      <w:rPr>
        <w:rFonts w:ascii="Wingdings" w:hAnsi="Wingdings" w:hint="default"/>
      </w:rPr>
    </w:lvl>
    <w:lvl w:ilvl="6" w:tplc="013A8DD8" w:tentative="1">
      <w:start w:val="1"/>
      <w:numFmt w:val="bullet"/>
      <w:lvlText w:val=""/>
      <w:lvlJc w:val="left"/>
      <w:pPr>
        <w:tabs>
          <w:tab w:val="num" w:pos="5040"/>
        </w:tabs>
        <w:ind w:left="5040" w:hanging="360"/>
      </w:pPr>
      <w:rPr>
        <w:rFonts w:ascii="Wingdings" w:hAnsi="Wingdings" w:hint="default"/>
      </w:rPr>
    </w:lvl>
    <w:lvl w:ilvl="7" w:tplc="41EC72C8" w:tentative="1">
      <w:start w:val="1"/>
      <w:numFmt w:val="bullet"/>
      <w:lvlText w:val=""/>
      <w:lvlJc w:val="left"/>
      <w:pPr>
        <w:tabs>
          <w:tab w:val="num" w:pos="5760"/>
        </w:tabs>
        <w:ind w:left="5760" w:hanging="360"/>
      </w:pPr>
      <w:rPr>
        <w:rFonts w:ascii="Wingdings" w:hAnsi="Wingdings" w:hint="default"/>
      </w:rPr>
    </w:lvl>
    <w:lvl w:ilvl="8" w:tplc="C304FF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A779B"/>
    <w:multiLevelType w:val="hybridMultilevel"/>
    <w:tmpl w:val="892AA9DA"/>
    <w:lvl w:ilvl="0" w:tplc="832CD3C8">
      <w:start w:val="1"/>
      <w:numFmt w:val="decimal"/>
      <w:lvlText w:val="%1."/>
      <w:lvlJc w:val="left"/>
      <w:pPr>
        <w:tabs>
          <w:tab w:val="num" w:pos="720"/>
        </w:tabs>
        <w:ind w:left="720" w:hanging="360"/>
      </w:pPr>
    </w:lvl>
    <w:lvl w:ilvl="1" w:tplc="4C10771E" w:tentative="1">
      <w:start w:val="1"/>
      <w:numFmt w:val="decimal"/>
      <w:lvlText w:val="%2."/>
      <w:lvlJc w:val="left"/>
      <w:pPr>
        <w:tabs>
          <w:tab w:val="num" w:pos="1440"/>
        </w:tabs>
        <w:ind w:left="1440" w:hanging="360"/>
      </w:pPr>
    </w:lvl>
    <w:lvl w:ilvl="2" w:tplc="1BA611D0" w:tentative="1">
      <w:start w:val="1"/>
      <w:numFmt w:val="decimal"/>
      <w:lvlText w:val="%3."/>
      <w:lvlJc w:val="left"/>
      <w:pPr>
        <w:tabs>
          <w:tab w:val="num" w:pos="2160"/>
        </w:tabs>
        <w:ind w:left="2160" w:hanging="360"/>
      </w:pPr>
    </w:lvl>
    <w:lvl w:ilvl="3" w:tplc="A9BE8312" w:tentative="1">
      <w:start w:val="1"/>
      <w:numFmt w:val="decimal"/>
      <w:lvlText w:val="%4."/>
      <w:lvlJc w:val="left"/>
      <w:pPr>
        <w:tabs>
          <w:tab w:val="num" w:pos="2880"/>
        </w:tabs>
        <w:ind w:left="2880" w:hanging="360"/>
      </w:pPr>
    </w:lvl>
    <w:lvl w:ilvl="4" w:tplc="EE48C412" w:tentative="1">
      <w:start w:val="1"/>
      <w:numFmt w:val="decimal"/>
      <w:lvlText w:val="%5."/>
      <w:lvlJc w:val="left"/>
      <w:pPr>
        <w:tabs>
          <w:tab w:val="num" w:pos="3600"/>
        </w:tabs>
        <w:ind w:left="3600" w:hanging="360"/>
      </w:pPr>
    </w:lvl>
    <w:lvl w:ilvl="5" w:tplc="9E6AE0D6" w:tentative="1">
      <w:start w:val="1"/>
      <w:numFmt w:val="decimal"/>
      <w:lvlText w:val="%6."/>
      <w:lvlJc w:val="left"/>
      <w:pPr>
        <w:tabs>
          <w:tab w:val="num" w:pos="4320"/>
        </w:tabs>
        <w:ind w:left="4320" w:hanging="360"/>
      </w:pPr>
    </w:lvl>
    <w:lvl w:ilvl="6" w:tplc="EC7E5A76" w:tentative="1">
      <w:start w:val="1"/>
      <w:numFmt w:val="decimal"/>
      <w:lvlText w:val="%7."/>
      <w:lvlJc w:val="left"/>
      <w:pPr>
        <w:tabs>
          <w:tab w:val="num" w:pos="5040"/>
        </w:tabs>
        <w:ind w:left="5040" w:hanging="360"/>
      </w:pPr>
    </w:lvl>
    <w:lvl w:ilvl="7" w:tplc="E4CE53A2" w:tentative="1">
      <w:start w:val="1"/>
      <w:numFmt w:val="decimal"/>
      <w:lvlText w:val="%8."/>
      <w:lvlJc w:val="left"/>
      <w:pPr>
        <w:tabs>
          <w:tab w:val="num" w:pos="5760"/>
        </w:tabs>
        <w:ind w:left="5760" w:hanging="360"/>
      </w:pPr>
    </w:lvl>
    <w:lvl w:ilvl="8" w:tplc="E6CA81A4" w:tentative="1">
      <w:start w:val="1"/>
      <w:numFmt w:val="decimal"/>
      <w:lvlText w:val="%9."/>
      <w:lvlJc w:val="left"/>
      <w:pPr>
        <w:tabs>
          <w:tab w:val="num" w:pos="6480"/>
        </w:tabs>
        <w:ind w:left="6480" w:hanging="360"/>
      </w:pPr>
    </w:lvl>
  </w:abstractNum>
  <w:abstractNum w:abstractNumId="11" w15:restartNumberingAfterBreak="0">
    <w:nsid w:val="69437E73"/>
    <w:multiLevelType w:val="hybridMultilevel"/>
    <w:tmpl w:val="C964AF02"/>
    <w:lvl w:ilvl="0" w:tplc="B4E2E0F6">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11"/>
  </w:num>
  <w:num w:numId="2">
    <w:abstractNumId w:val="0"/>
  </w:num>
  <w:num w:numId="3">
    <w:abstractNumId w:val="3"/>
  </w:num>
  <w:num w:numId="4">
    <w:abstractNumId w:val="2"/>
  </w:num>
  <w:num w:numId="5">
    <w:abstractNumId w:val="7"/>
  </w:num>
  <w:num w:numId="6">
    <w:abstractNumId w:val="5"/>
  </w:num>
  <w:num w:numId="7">
    <w:abstractNumId w:val="10"/>
  </w:num>
  <w:num w:numId="8">
    <w:abstractNumId w:val="8"/>
  </w:num>
  <w:num w:numId="9">
    <w:abstractNumId w:val="4"/>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4E"/>
    <w:rsid w:val="00004CDC"/>
    <w:rsid w:val="000053DB"/>
    <w:rsid w:val="00010AC3"/>
    <w:rsid w:val="000668CC"/>
    <w:rsid w:val="00074256"/>
    <w:rsid w:val="000A55A8"/>
    <w:rsid w:val="000E50D3"/>
    <w:rsid w:val="000F025B"/>
    <w:rsid w:val="00127E49"/>
    <w:rsid w:val="00160C76"/>
    <w:rsid w:val="001679E6"/>
    <w:rsid w:val="001B4135"/>
    <w:rsid w:val="001D0034"/>
    <w:rsid w:val="001D67CC"/>
    <w:rsid w:val="001E3961"/>
    <w:rsid w:val="00200AE7"/>
    <w:rsid w:val="00243F32"/>
    <w:rsid w:val="00252085"/>
    <w:rsid w:val="00285632"/>
    <w:rsid w:val="002B097F"/>
    <w:rsid w:val="002E41D4"/>
    <w:rsid w:val="00311C54"/>
    <w:rsid w:val="00325FF5"/>
    <w:rsid w:val="00327E48"/>
    <w:rsid w:val="0038794B"/>
    <w:rsid w:val="00387C50"/>
    <w:rsid w:val="003E556B"/>
    <w:rsid w:val="003F4D78"/>
    <w:rsid w:val="00406953"/>
    <w:rsid w:val="00486C83"/>
    <w:rsid w:val="004C0A5C"/>
    <w:rsid w:val="004F50A3"/>
    <w:rsid w:val="00501E05"/>
    <w:rsid w:val="0050762D"/>
    <w:rsid w:val="00545BE7"/>
    <w:rsid w:val="0055671C"/>
    <w:rsid w:val="005600E8"/>
    <w:rsid w:val="005C1033"/>
    <w:rsid w:val="005C279E"/>
    <w:rsid w:val="005F3BBD"/>
    <w:rsid w:val="005F5A91"/>
    <w:rsid w:val="00615905"/>
    <w:rsid w:val="00620A2C"/>
    <w:rsid w:val="00664335"/>
    <w:rsid w:val="006B6312"/>
    <w:rsid w:val="006C2492"/>
    <w:rsid w:val="006E059C"/>
    <w:rsid w:val="006F1855"/>
    <w:rsid w:val="00707410"/>
    <w:rsid w:val="007343D7"/>
    <w:rsid w:val="00741090"/>
    <w:rsid w:val="00745641"/>
    <w:rsid w:val="007600C1"/>
    <w:rsid w:val="0076317E"/>
    <w:rsid w:val="00783D16"/>
    <w:rsid w:val="007A0C48"/>
    <w:rsid w:val="007C511B"/>
    <w:rsid w:val="008261F2"/>
    <w:rsid w:val="008352F4"/>
    <w:rsid w:val="008A0450"/>
    <w:rsid w:val="008C17D3"/>
    <w:rsid w:val="008E0059"/>
    <w:rsid w:val="008F0DDB"/>
    <w:rsid w:val="009251EA"/>
    <w:rsid w:val="009532E7"/>
    <w:rsid w:val="009A7298"/>
    <w:rsid w:val="009C77DB"/>
    <w:rsid w:val="009D6AD6"/>
    <w:rsid w:val="009F49F8"/>
    <w:rsid w:val="009F7D1D"/>
    <w:rsid w:val="00B3335F"/>
    <w:rsid w:val="00B3434D"/>
    <w:rsid w:val="00B42EE9"/>
    <w:rsid w:val="00B509A2"/>
    <w:rsid w:val="00B51346"/>
    <w:rsid w:val="00B73C71"/>
    <w:rsid w:val="00B95F71"/>
    <w:rsid w:val="00BC5A41"/>
    <w:rsid w:val="00BD65FC"/>
    <w:rsid w:val="00BE076D"/>
    <w:rsid w:val="00C44E1C"/>
    <w:rsid w:val="00CA4A06"/>
    <w:rsid w:val="00CD1C71"/>
    <w:rsid w:val="00CF172C"/>
    <w:rsid w:val="00CF6345"/>
    <w:rsid w:val="00D34A4E"/>
    <w:rsid w:val="00D863FF"/>
    <w:rsid w:val="00DC4189"/>
    <w:rsid w:val="00DD0863"/>
    <w:rsid w:val="00DD3BB7"/>
    <w:rsid w:val="00E04890"/>
    <w:rsid w:val="00E937B1"/>
    <w:rsid w:val="00E945B1"/>
    <w:rsid w:val="00EE4A1C"/>
    <w:rsid w:val="00EF1F63"/>
    <w:rsid w:val="00EF3A32"/>
    <w:rsid w:val="00EF7790"/>
    <w:rsid w:val="00EF77D3"/>
    <w:rsid w:val="00F264D8"/>
    <w:rsid w:val="00F40602"/>
    <w:rsid w:val="00F45D28"/>
    <w:rsid w:val="00F559E8"/>
    <w:rsid w:val="00F81938"/>
    <w:rsid w:val="00FA48A7"/>
    <w:rsid w:val="00FB32CA"/>
    <w:rsid w:val="00FC06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552CB"/>
  <w15:docId w15:val="{69CBF9F4-CCF9-46DC-8500-3E3D27CE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F8"/>
  </w:style>
  <w:style w:type="paragraph" w:styleId="Heading1">
    <w:name w:val="heading 1"/>
    <w:basedOn w:val="Normal"/>
    <w:next w:val="Normal"/>
    <w:link w:val="Heading1Char"/>
    <w:autoRedefine/>
    <w:uiPriority w:val="9"/>
    <w:qFormat/>
    <w:rsid w:val="006F1855"/>
    <w:pPr>
      <w:keepNext/>
      <w:keepLines/>
      <w:pBdr>
        <w:bottom w:val="thickThinMediumGap" w:sz="18" w:space="1" w:color="8CD262"/>
      </w:pBdr>
      <w:spacing w:before="480" w:after="60"/>
      <w:ind w:right="3453"/>
      <w:outlineLvl w:val="0"/>
    </w:pPr>
    <w:rPr>
      <w:rFonts w:ascii="Bookman Old Style" w:eastAsiaTheme="majorEastAsia" w:hAnsi="Bookman Old Style" w:cstheme="majorBidi"/>
      <w:color w:val="19804B"/>
      <w:kern w:val="2"/>
      <w:sz w:val="30"/>
      <w:szCs w:val="32"/>
      <w14:ligatures w14:val="standardContextual"/>
    </w:rPr>
  </w:style>
  <w:style w:type="paragraph" w:styleId="Heading2">
    <w:name w:val="heading 2"/>
    <w:basedOn w:val="Normal"/>
    <w:next w:val="Normal"/>
    <w:link w:val="Heading2Char"/>
    <w:autoRedefine/>
    <w:uiPriority w:val="9"/>
    <w:unhideWhenUsed/>
    <w:qFormat/>
    <w:rsid w:val="008352F4"/>
    <w:pPr>
      <w:keepNext/>
      <w:keepLines/>
      <w:spacing w:before="40" w:after="120" w:line="257" w:lineRule="auto"/>
      <w:outlineLvl w:val="1"/>
    </w:pPr>
    <w:rPr>
      <w:rFonts w:ascii="Bookman Old Style" w:eastAsiaTheme="majorEastAsia" w:hAnsi="Bookman Old Style" w:cstheme="majorBidi"/>
      <w:color w:val="19804B"/>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410"/>
    <w:pPr>
      <w:tabs>
        <w:tab w:val="center" w:pos="4513"/>
        <w:tab w:val="right" w:pos="9026"/>
      </w:tabs>
    </w:pPr>
  </w:style>
  <w:style w:type="character" w:customStyle="1" w:styleId="HeaderChar">
    <w:name w:val="Header Char"/>
    <w:basedOn w:val="DefaultParagraphFont"/>
    <w:link w:val="Header"/>
    <w:uiPriority w:val="99"/>
    <w:rsid w:val="00707410"/>
  </w:style>
  <w:style w:type="paragraph" w:styleId="Footer">
    <w:name w:val="footer"/>
    <w:basedOn w:val="Normal"/>
    <w:link w:val="FooterChar"/>
    <w:uiPriority w:val="99"/>
    <w:unhideWhenUsed/>
    <w:rsid w:val="00707410"/>
    <w:pPr>
      <w:tabs>
        <w:tab w:val="center" w:pos="4513"/>
        <w:tab w:val="right" w:pos="9026"/>
      </w:tabs>
    </w:pPr>
  </w:style>
  <w:style w:type="character" w:customStyle="1" w:styleId="FooterChar">
    <w:name w:val="Footer Char"/>
    <w:basedOn w:val="DefaultParagraphFont"/>
    <w:link w:val="Footer"/>
    <w:uiPriority w:val="99"/>
    <w:rsid w:val="00707410"/>
  </w:style>
  <w:style w:type="paragraph" w:styleId="NoSpacing">
    <w:name w:val="No Spacing"/>
    <w:uiPriority w:val="1"/>
    <w:qFormat/>
    <w:rsid w:val="00E945B1"/>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27E49"/>
    <w:rPr>
      <w:sz w:val="20"/>
      <w:szCs w:val="20"/>
    </w:rPr>
  </w:style>
  <w:style w:type="character" w:customStyle="1" w:styleId="FootnoteTextChar">
    <w:name w:val="Footnote Text Char"/>
    <w:basedOn w:val="DefaultParagraphFont"/>
    <w:link w:val="FootnoteText"/>
    <w:uiPriority w:val="99"/>
    <w:semiHidden/>
    <w:rsid w:val="00127E49"/>
    <w:rPr>
      <w:sz w:val="20"/>
      <w:szCs w:val="20"/>
    </w:rPr>
  </w:style>
  <w:style w:type="character" w:styleId="FootnoteReference">
    <w:name w:val="footnote reference"/>
    <w:basedOn w:val="DefaultParagraphFont"/>
    <w:uiPriority w:val="99"/>
    <w:semiHidden/>
    <w:unhideWhenUsed/>
    <w:rsid w:val="00127E49"/>
    <w:rPr>
      <w:vertAlign w:val="superscript"/>
    </w:rPr>
  </w:style>
  <w:style w:type="paragraph" w:styleId="ListParagraph">
    <w:name w:val="List Paragraph"/>
    <w:basedOn w:val="Normal"/>
    <w:uiPriority w:val="34"/>
    <w:qFormat/>
    <w:rsid w:val="00DC4189"/>
    <w:pPr>
      <w:ind w:left="720"/>
      <w:contextualSpacing/>
    </w:pPr>
  </w:style>
  <w:style w:type="character" w:customStyle="1" w:styleId="Heading1Char">
    <w:name w:val="Heading 1 Char"/>
    <w:basedOn w:val="DefaultParagraphFont"/>
    <w:link w:val="Heading1"/>
    <w:uiPriority w:val="9"/>
    <w:rsid w:val="006F1855"/>
    <w:rPr>
      <w:rFonts w:ascii="Bookman Old Style" w:eastAsiaTheme="majorEastAsia" w:hAnsi="Bookman Old Style" w:cstheme="majorBidi"/>
      <w:color w:val="19804B"/>
      <w:kern w:val="2"/>
      <w:sz w:val="30"/>
      <w:szCs w:val="32"/>
      <w14:ligatures w14:val="standardContextual"/>
    </w:rPr>
  </w:style>
  <w:style w:type="character" w:customStyle="1" w:styleId="Heading2Char">
    <w:name w:val="Heading 2 Char"/>
    <w:basedOn w:val="DefaultParagraphFont"/>
    <w:link w:val="Heading2"/>
    <w:uiPriority w:val="9"/>
    <w:rsid w:val="008352F4"/>
    <w:rPr>
      <w:rFonts w:ascii="Bookman Old Style" w:eastAsiaTheme="majorEastAsia" w:hAnsi="Bookman Old Style" w:cstheme="majorBidi"/>
      <w:color w:val="19804B"/>
      <w:kern w:val="2"/>
      <w:sz w:val="26"/>
      <w:szCs w:val="26"/>
      <w14:ligatures w14:val="standardContextual"/>
    </w:rPr>
  </w:style>
  <w:style w:type="paragraph" w:styleId="TOCHeading">
    <w:name w:val="TOC Heading"/>
    <w:basedOn w:val="Heading1"/>
    <w:next w:val="Normal"/>
    <w:uiPriority w:val="39"/>
    <w:unhideWhenUsed/>
    <w:qFormat/>
    <w:rsid w:val="00074256"/>
    <w:pPr>
      <w:pBdr>
        <w:bottom w:val="none" w:sz="0" w:space="0" w:color="auto"/>
      </w:pBdr>
      <w:spacing w:after="0" w:line="259" w:lineRule="auto"/>
      <w:ind w:right="0"/>
      <w:outlineLvl w:val="9"/>
    </w:pPr>
    <w:rPr>
      <w:rFonts w:asciiTheme="majorHAnsi" w:hAnsiTheme="majorHAnsi"/>
      <w:color w:val="2F5496" w:themeColor="accent1" w:themeShade="BF"/>
      <w:kern w:val="0"/>
      <w:sz w:val="32"/>
      <w:lang w:val="en-US"/>
      <w14:ligatures w14:val="none"/>
    </w:rPr>
  </w:style>
  <w:style w:type="paragraph" w:styleId="TOC1">
    <w:name w:val="toc 1"/>
    <w:basedOn w:val="Normal"/>
    <w:next w:val="Normal"/>
    <w:autoRedefine/>
    <w:uiPriority w:val="39"/>
    <w:unhideWhenUsed/>
    <w:rsid w:val="00074256"/>
    <w:pPr>
      <w:spacing w:after="100"/>
    </w:pPr>
  </w:style>
  <w:style w:type="character" w:styleId="Hyperlink">
    <w:name w:val="Hyperlink"/>
    <w:basedOn w:val="DefaultParagraphFont"/>
    <w:uiPriority w:val="99"/>
    <w:unhideWhenUsed/>
    <w:rsid w:val="00074256"/>
    <w:rPr>
      <w:color w:val="0563C1" w:themeColor="hyperlink"/>
      <w:u w:val="single"/>
    </w:rPr>
  </w:style>
  <w:style w:type="paragraph" w:styleId="NormalWeb">
    <w:name w:val="Normal (Web)"/>
    <w:basedOn w:val="Normal"/>
    <w:uiPriority w:val="99"/>
    <w:unhideWhenUsed/>
    <w:rsid w:val="00DD3BB7"/>
    <w:pPr>
      <w:spacing w:before="100" w:beforeAutospacing="1" w:after="100" w:afterAutospacing="1"/>
    </w:pPr>
    <w:rPr>
      <w:rFonts w:ascii="Times New Roman" w:eastAsia="Times New Roman" w:hAnsi="Times New Roman" w:cs="Times New Roman"/>
      <w:lang w:eastAsia="bg-BG"/>
    </w:rPr>
  </w:style>
  <w:style w:type="character" w:styleId="Emphasis">
    <w:name w:val="Emphasis"/>
    <w:basedOn w:val="DefaultParagraphFont"/>
    <w:uiPriority w:val="20"/>
    <w:qFormat/>
    <w:rsid w:val="00DD3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555">
      <w:bodyDiv w:val="1"/>
      <w:marLeft w:val="0"/>
      <w:marRight w:val="0"/>
      <w:marTop w:val="0"/>
      <w:marBottom w:val="0"/>
      <w:divBdr>
        <w:top w:val="none" w:sz="0" w:space="0" w:color="auto"/>
        <w:left w:val="none" w:sz="0" w:space="0" w:color="auto"/>
        <w:bottom w:val="none" w:sz="0" w:space="0" w:color="auto"/>
        <w:right w:val="none" w:sz="0" w:space="0" w:color="auto"/>
      </w:divBdr>
    </w:div>
    <w:div w:id="104933374">
      <w:bodyDiv w:val="1"/>
      <w:marLeft w:val="0"/>
      <w:marRight w:val="0"/>
      <w:marTop w:val="0"/>
      <w:marBottom w:val="0"/>
      <w:divBdr>
        <w:top w:val="none" w:sz="0" w:space="0" w:color="auto"/>
        <w:left w:val="none" w:sz="0" w:space="0" w:color="auto"/>
        <w:bottom w:val="none" w:sz="0" w:space="0" w:color="auto"/>
        <w:right w:val="none" w:sz="0" w:space="0" w:color="auto"/>
      </w:divBdr>
    </w:div>
    <w:div w:id="398721631">
      <w:bodyDiv w:val="1"/>
      <w:marLeft w:val="0"/>
      <w:marRight w:val="0"/>
      <w:marTop w:val="0"/>
      <w:marBottom w:val="0"/>
      <w:divBdr>
        <w:top w:val="none" w:sz="0" w:space="0" w:color="auto"/>
        <w:left w:val="none" w:sz="0" w:space="0" w:color="auto"/>
        <w:bottom w:val="none" w:sz="0" w:space="0" w:color="auto"/>
        <w:right w:val="none" w:sz="0" w:space="0" w:color="auto"/>
      </w:divBdr>
    </w:div>
    <w:div w:id="836457429">
      <w:bodyDiv w:val="1"/>
      <w:marLeft w:val="0"/>
      <w:marRight w:val="0"/>
      <w:marTop w:val="0"/>
      <w:marBottom w:val="0"/>
      <w:divBdr>
        <w:top w:val="none" w:sz="0" w:space="0" w:color="auto"/>
        <w:left w:val="none" w:sz="0" w:space="0" w:color="auto"/>
        <w:bottom w:val="none" w:sz="0" w:space="0" w:color="auto"/>
        <w:right w:val="none" w:sz="0" w:space="0" w:color="auto"/>
      </w:divBdr>
      <w:divsChild>
        <w:div w:id="911742100">
          <w:marLeft w:val="547"/>
          <w:marRight w:val="0"/>
          <w:marTop w:val="0"/>
          <w:marBottom w:val="240"/>
          <w:divBdr>
            <w:top w:val="none" w:sz="0" w:space="0" w:color="auto"/>
            <w:left w:val="none" w:sz="0" w:space="0" w:color="auto"/>
            <w:bottom w:val="none" w:sz="0" w:space="0" w:color="auto"/>
            <w:right w:val="none" w:sz="0" w:space="0" w:color="auto"/>
          </w:divBdr>
        </w:div>
        <w:div w:id="1368602711">
          <w:marLeft w:val="547"/>
          <w:marRight w:val="0"/>
          <w:marTop w:val="0"/>
          <w:marBottom w:val="240"/>
          <w:divBdr>
            <w:top w:val="none" w:sz="0" w:space="0" w:color="auto"/>
            <w:left w:val="none" w:sz="0" w:space="0" w:color="auto"/>
            <w:bottom w:val="none" w:sz="0" w:space="0" w:color="auto"/>
            <w:right w:val="none" w:sz="0" w:space="0" w:color="auto"/>
          </w:divBdr>
        </w:div>
        <w:div w:id="1722702804">
          <w:marLeft w:val="547"/>
          <w:marRight w:val="0"/>
          <w:marTop w:val="0"/>
          <w:marBottom w:val="240"/>
          <w:divBdr>
            <w:top w:val="none" w:sz="0" w:space="0" w:color="auto"/>
            <w:left w:val="none" w:sz="0" w:space="0" w:color="auto"/>
            <w:bottom w:val="none" w:sz="0" w:space="0" w:color="auto"/>
            <w:right w:val="none" w:sz="0" w:space="0" w:color="auto"/>
          </w:divBdr>
        </w:div>
        <w:div w:id="852455156">
          <w:marLeft w:val="547"/>
          <w:marRight w:val="0"/>
          <w:marTop w:val="0"/>
          <w:marBottom w:val="240"/>
          <w:divBdr>
            <w:top w:val="none" w:sz="0" w:space="0" w:color="auto"/>
            <w:left w:val="none" w:sz="0" w:space="0" w:color="auto"/>
            <w:bottom w:val="none" w:sz="0" w:space="0" w:color="auto"/>
            <w:right w:val="none" w:sz="0" w:space="0" w:color="auto"/>
          </w:divBdr>
        </w:div>
      </w:divsChild>
    </w:div>
    <w:div w:id="1013455351">
      <w:bodyDiv w:val="1"/>
      <w:marLeft w:val="0"/>
      <w:marRight w:val="0"/>
      <w:marTop w:val="0"/>
      <w:marBottom w:val="0"/>
      <w:divBdr>
        <w:top w:val="none" w:sz="0" w:space="0" w:color="auto"/>
        <w:left w:val="none" w:sz="0" w:space="0" w:color="auto"/>
        <w:bottom w:val="none" w:sz="0" w:space="0" w:color="auto"/>
        <w:right w:val="none" w:sz="0" w:space="0" w:color="auto"/>
      </w:divBdr>
    </w:div>
    <w:div w:id="1129202684">
      <w:bodyDiv w:val="1"/>
      <w:marLeft w:val="0"/>
      <w:marRight w:val="0"/>
      <w:marTop w:val="0"/>
      <w:marBottom w:val="0"/>
      <w:divBdr>
        <w:top w:val="none" w:sz="0" w:space="0" w:color="auto"/>
        <w:left w:val="none" w:sz="0" w:space="0" w:color="auto"/>
        <w:bottom w:val="none" w:sz="0" w:space="0" w:color="auto"/>
        <w:right w:val="none" w:sz="0" w:space="0" w:color="auto"/>
      </w:divBdr>
      <w:divsChild>
        <w:div w:id="1887251668">
          <w:marLeft w:val="547"/>
          <w:marRight w:val="0"/>
          <w:marTop w:val="0"/>
          <w:marBottom w:val="0"/>
          <w:divBdr>
            <w:top w:val="none" w:sz="0" w:space="0" w:color="auto"/>
            <w:left w:val="none" w:sz="0" w:space="0" w:color="auto"/>
            <w:bottom w:val="none" w:sz="0" w:space="0" w:color="auto"/>
            <w:right w:val="none" w:sz="0" w:space="0" w:color="auto"/>
          </w:divBdr>
        </w:div>
      </w:divsChild>
    </w:div>
    <w:div w:id="1303387413">
      <w:bodyDiv w:val="1"/>
      <w:marLeft w:val="0"/>
      <w:marRight w:val="0"/>
      <w:marTop w:val="0"/>
      <w:marBottom w:val="0"/>
      <w:divBdr>
        <w:top w:val="none" w:sz="0" w:space="0" w:color="auto"/>
        <w:left w:val="none" w:sz="0" w:space="0" w:color="auto"/>
        <w:bottom w:val="none" w:sz="0" w:space="0" w:color="auto"/>
        <w:right w:val="none" w:sz="0" w:space="0" w:color="auto"/>
      </w:divBdr>
      <w:divsChild>
        <w:div w:id="1469785313">
          <w:marLeft w:val="547"/>
          <w:marRight w:val="0"/>
          <w:marTop w:val="0"/>
          <w:marBottom w:val="0"/>
          <w:divBdr>
            <w:top w:val="none" w:sz="0" w:space="0" w:color="auto"/>
            <w:left w:val="none" w:sz="0" w:space="0" w:color="auto"/>
            <w:bottom w:val="none" w:sz="0" w:space="0" w:color="auto"/>
            <w:right w:val="none" w:sz="0" w:space="0" w:color="auto"/>
          </w:divBdr>
        </w:div>
        <w:div w:id="898056145">
          <w:marLeft w:val="547"/>
          <w:marRight w:val="0"/>
          <w:marTop w:val="0"/>
          <w:marBottom w:val="0"/>
          <w:divBdr>
            <w:top w:val="none" w:sz="0" w:space="0" w:color="auto"/>
            <w:left w:val="none" w:sz="0" w:space="0" w:color="auto"/>
            <w:bottom w:val="none" w:sz="0" w:space="0" w:color="auto"/>
            <w:right w:val="none" w:sz="0" w:space="0" w:color="auto"/>
          </w:divBdr>
        </w:div>
        <w:div w:id="55665910">
          <w:marLeft w:val="547"/>
          <w:marRight w:val="0"/>
          <w:marTop w:val="0"/>
          <w:marBottom w:val="0"/>
          <w:divBdr>
            <w:top w:val="none" w:sz="0" w:space="0" w:color="auto"/>
            <w:left w:val="none" w:sz="0" w:space="0" w:color="auto"/>
            <w:bottom w:val="none" w:sz="0" w:space="0" w:color="auto"/>
            <w:right w:val="none" w:sz="0" w:space="0" w:color="auto"/>
          </w:divBdr>
        </w:div>
        <w:div w:id="1037243869">
          <w:marLeft w:val="547"/>
          <w:marRight w:val="0"/>
          <w:marTop w:val="0"/>
          <w:marBottom w:val="0"/>
          <w:divBdr>
            <w:top w:val="none" w:sz="0" w:space="0" w:color="auto"/>
            <w:left w:val="none" w:sz="0" w:space="0" w:color="auto"/>
            <w:bottom w:val="none" w:sz="0" w:space="0" w:color="auto"/>
            <w:right w:val="none" w:sz="0" w:space="0" w:color="auto"/>
          </w:divBdr>
        </w:div>
      </w:divsChild>
    </w:div>
    <w:div w:id="1663897754">
      <w:bodyDiv w:val="1"/>
      <w:marLeft w:val="0"/>
      <w:marRight w:val="0"/>
      <w:marTop w:val="0"/>
      <w:marBottom w:val="0"/>
      <w:divBdr>
        <w:top w:val="none" w:sz="0" w:space="0" w:color="auto"/>
        <w:left w:val="none" w:sz="0" w:space="0" w:color="auto"/>
        <w:bottom w:val="none" w:sz="0" w:space="0" w:color="auto"/>
        <w:right w:val="none" w:sz="0" w:space="0" w:color="auto"/>
      </w:divBdr>
    </w:div>
    <w:div w:id="1698962548">
      <w:bodyDiv w:val="1"/>
      <w:marLeft w:val="0"/>
      <w:marRight w:val="0"/>
      <w:marTop w:val="0"/>
      <w:marBottom w:val="0"/>
      <w:divBdr>
        <w:top w:val="none" w:sz="0" w:space="0" w:color="auto"/>
        <w:left w:val="none" w:sz="0" w:space="0" w:color="auto"/>
        <w:bottom w:val="none" w:sz="0" w:space="0" w:color="auto"/>
        <w:right w:val="none" w:sz="0" w:space="0" w:color="auto"/>
      </w:divBdr>
    </w:div>
    <w:div w:id="1858886652">
      <w:bodyDiv w:val="1"/>
      <w:marLeft w:val="0"/>
      <w:marRight w:val="0"/>
      <w:marTop w:val="0"/>
      <w:marBottom w:val="0"/>
      <w:divBdr>
        <w:top w:val="none" w:sz="0" w:space="0" w:color="auto"/>
        <w:left w:val="none" w:sz="0" w:space="0" w:color="auto"/>
        <w:bottom w:val="none" w:sz="0" w:space="0" w:color="auto"/>
        <w:right w:val="none" w:sz="0" w:space="0" w:color="auto"/>
      </w:divBdr>
    </w:div>
    <w:div w:id="20756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zz.net/bg/stanovishta/baalo-position-cadastre-expropriation-agriculture-n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BIA\-%20&#1048;&#1050;%20&#1041;&#1086;&#1078;&#1080;&#1076;&#1072;&#1088;%20&#1044;&#1072;&#1085;&#1077;&#1074;\&#1050;&#1051;&#1048;&#1045;&#1053;&#1058;&#1048;\&#1041;&#1040;&#1057;&#1047;&#1047;\-%20&#1041;&#1051;&#1040;&#1053;&#1050;&#10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9F46-E995-4379-9682-14B58F5E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БЛАНКА.dotx</Template>
  <TotalTime>0</TotalTime>
  <Pages>9</Pages>
  <Words>3719</Words>
  <Characters>21204</Characters>
  <Application>Microsoft Office Word</Application>
  <DocSecurity>0</DocSecurity>
  <Lines>176</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 Alashka</dc:creator>
  <cp:lastModifiedBy>ASUS</cp:lastModifiedBy>
  <cp:revision>2</cp:revision>
  <cp:lastPrinted>2023-06-07T05:10:00Z</cp:lastPrinted>
  <dcterms:created xsi:type="dcterms:W3CDTF">2023-06-09T07:57:00Z</dcterms:created>
  <dcterms:modified xsi:type="dcterms:W3CDTF">2023-06-09T07:57:00Z</dcterms:modified>
</cp:coreProperties>
</file>