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9D6B" w14:textId="77777777" w:rsidR="00CB15CB" w:rsidRPr="00074095" w:rsidRDefault="00CB15CB" w:rsidP="00CB15CB">
      <w:pPr>
        <w:spacing w:before="160" w:after="0"/>
        <w:jc w:val="right"/>
        <w:rPr>
          <w:rFonts w:ascii="Verdana" w:eastAsia="Calibri" w:hAnsi="Verdana" w:cs="Times New Roman"/>
          <w:b/>
          <w:sz w:val="20"/>
          <w:szCs w:val="20"/>
          <w:lang w:val="bg-BG"/>
        </w:rPr>
      </w:pPr>
      <w:r w:rsidRPr="00074095">
        <w:rPr>
          <w:rFonts w:ascii="Verdana" w:eastAsia="Calibri" w:hAnsi="Verdana" w:cs="Times New Roman"/>
          <w:b/>
          <w:sz w:val="20"/>
          <w:szCs w:val="20"/>
          <w:lang w:val="bg-BG"/>
        </w:rPr>
        <w:t>Териториално статистическо бюро - Североизток</w:t>
      </w:r>
    </w:p>
    <w:p w14:paraId="6DBF093B" w14:textId="77777777" w:rsidR="00CB15CB" w:rsidRPr="00074095" w:rsidRDefault="00CB15CB" w:rsidP="00CB15CB">
      <w:pPr>
        <w:tabs>
          <w:tab w:val="left" w:pos="3123"/>
        </w:tabs>
        <w:spacing w:after="0" w:line="360" w:lineRule="auto"/>
        <w:ind w:firstLine="567"/>
        <w:jc w:val="right"/>
        <w:rPr>
          <w:rFonts w:ascii="Verdana" w:eastAsia="Μοντέρνα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Calibri" w:hAnsi="Verdana" w:cs="Times New Roman"/>
          <w:sz w:val="20"/>
          <w:szCs w:val="20"/>
          <w:lang w:val="bg-BG"/>
        </w:rPr>
        <w:t>Отдел „Статистически изследвания - Добрич“</w:t>
      </w:r>
    </w:p>
    <w:p w14:paraId="54D203D5" w14:textId="77777777" w:rsidR="00CB15CB" w:rsidRPr="00074095" w:rsidRDefault="00CB15CB" w:rsidP="00CB15CB">
      <w:pPr>
        <w:spacing w:after="0" w:line="360" w:lineRule="auto"/>
        <w:ind w:right="-1" w:firstLine="567"/>
        <w:jc w:val="center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</w:p>
    <w:p w14:paraId="17E9F5B2" w14:textId="77777777" w:rsidR="00F822A9" w:rsidRPr="00074095" w:rsidRDefault="00F822A9" w:rsidP="00F822A9">
      <w:pPr>
        <w:spacing w:before="160" w:after="0" w:line="360" w:lineRule="auto"/>
        <w:jc w:val="center"/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val="bg-BG" w:eastAsia="bg-BG"/>
        </w:rPr>
        <w:t>Годишна статистика на заетостта и разходите за труд</w:t>
      </w:r>
    </w:p>
    <w:p w14:paraId="0583760C" w14:textId="77777777" w:rsidR="00F822A9" w:rsidRPr="00074095" w:rsidRDefault="00F822A9" w:rsidP="00F822A9">
      <w:pPr>
        <w:spacing w:line="360" w:lineRule="auto"/>
        <w:jc w:val="center"/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val="bg-BG" w:eastAsia="bg-BG"/>
        </w:rPr>
        <w:t>в област Добрич през 2024 година</w:t>
      </w:r>
    </w:p>
    <w:p w14:paraId="1F546FAC" w14:textId="04777B68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Обобщените резултати от годишния отчет по труда за 2024 г. на стопанските субекти от финансовия и нефинансовия сектор в област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Добрич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показват, че </w:t>
      </w:r>
      <w:r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средногодишният брой на наетите лица по трудово и служебно правоотношение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е 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36 937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, което представлява 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.6% от о</w:t>
      </w:r>
      <w:bookmarkStart w:id="0" w:name="_GoBack"/>
      <w:bookmarkEnd w:id="0"/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бщия брой на наетите в страната. В сравнение с 2023 г. броят на наетите се увеличава с 82 души или с 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0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%. Увеличение се наблюдава в 1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0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 общо 19 икономически дейности, като по-значително е в „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Създаване и разпространение на информация и творчески продукти; далекосъобщения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(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42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5C291E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3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%),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Хуманно здравеопазване и социална работа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(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%) и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Култура, спорт и развлечения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(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%). </w:t>
      </w:r>
      <w:r w:rsidR="008A1ADD">
        <w:rPr>
          <w:rFonts w:ascii="Verdana" w:eastAsia="Times New Roman" w:hAnsi="Verdana" w:cs="Times New Roman"/>
          <w:sz w:val="20"/>
          <w:szCs w:val="20"/>
          <w:lang w:val="bg-BG" w:eastAsia="bg-BG"/>
        </w:rPr>
        <w:t>Н</w:t>
      </w:r>
      <w:r w:rsidR="008A1ADD" w:rsidRPr="008A1AD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ай-голямо </w:t>
      </w:r>
      <w:r w:rsidR="008A1ADD">
        <w:rPr>
          <w:rFonts w:ascii="Verdana" w:eastAsia="Times New Roman" w:hAnsi="Verdana" w:cs="Times New Roman"/>
          <w:sz w:val="20"/>
          <w:szCs w:val="20"/>
          <w:lang w:val="bg-BG" w:eastAsia="bg-BG"/>
        </w:rPr>
        <w:t>н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амаление на наетите лица е регистрирано в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Операции с недвижими имоти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(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10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8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%),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Строителство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(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%) и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Селско, горско и рибно стопанство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(3.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%).</w:t>
      </w:r>
    </w:p>
    <w:p w14:paraId="054CCDA3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В структурата на наетите лица по икономически дейности най-голям е относителният дял на наетите по трудово и служебно правоотношение в дейностите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Преработваща промишленост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и „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Търговия; ремонт на автомобили и мотоциклети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- съответно 1</w:t>
      </w:r>
      <w:r w:rsidR="00490642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и 1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%. </w:t>
      </w:r>
    </w:p>
    <w:p w14:paraId="6E79A9DF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По брой наети лица по трудово и служебно правоотношение област 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Добрич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заема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16-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то място сред 28-те области в страната. Най-голям е броят на наетите в областите София (столица) - 788.8 хил. и Пловдив - 230.5 хил., а най-малък в област Видин - 16.2 хиляди.</w:t>
      </w:r>
    </w:p>
    <w:p w14:paraId="4C76D10A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Средната брутна годишна работна заплата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в област 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Добрич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за 2024 г. е 2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0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 </w:t>
      </w:r>
      <w:r w:rsidR="001E3B8D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840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лв., при 27 898 л</w:t>
      </w:r>
      <w:r w:rsidR="00BD4F85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в.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средно за страната.</w:t>
      </w:r>
    </w:p>
    <w:p w14:paraId="053E3E62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 сравнение с 2023 г. средната работна заплата в област </w:t>
      </w:r>
      <w:r w:rsidR="00BD4F85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Добрич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BD4F85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се увеличава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1</w:t>
      </w:r>
      <w:r w:rsidR="00BD4F85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4.5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%, в обществения сектор - с 1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%, а в частния сектор - с 1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%. Икономическите дейности, в които е регистрирано най-голямо увеличение са „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Доставяне на води; канализационни услуги, управление на отпадъци и въ</w:t>
      </w:r>
      <w:r w:rsidR="00490642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з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становяване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“ - с 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28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„Култура, спорт и развлечения“ - с 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 и „</w:t>
      </w:r>
      <w:r w:rsidR="00DE3D0F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Транспорт, складиране и пощи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“ - с 1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9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%.</w:t>
      </w:r>
    </w:p>
    <w:p w14:paraId="3FEBEF99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59538AAF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74FC4E10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0E4BAAA3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07DDD535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64490940" w14:textId="77777777" w:rsidR="00F822A9" w:rsidRPr="00074095" w:rsidRDefault="00F822A9" w:rsidP="00F822A9">
      <w:pPr>
        <w:spacing w:before="16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lastRenderedPageBreak/>
        <w:t xml:space="preserve">Фиг. 1. Средна брутна годишна работна заплата в област </w:t>
      </w:r>
      <w:r w:rsidR="00B65CF0"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Добрич</w:t>
      </w:r>
      <w:r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по </w:t>
      </w:r>
      <w:r w:rsidR="004E7C2C"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сектори</w:t>
      </w:r>
    </w:p>
    <w:p w14:paraId="60F4C287" w14:textId="71D3C8BF" w:rsidR="00F822A9" w:rsidRPr="00074095" w:rsidRDefault="00D47469" w:rsidP="00490642">
      <w:pPr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noProof/>
          <w:lang w:val="bg-BG" w:eastAsia="bg-BG"/>
        </w:rPr>
        <w:drawing>
          <wp:inline distT="0" distB="0" distL="0" distR="0" wp14:anchorId="5AFA92B7" wp14:editId="2647BF3A">
            <wp:extent cx="6153150" cy="39624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8D78C90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Икономическите дейности с най-високо средногодишно трудово възнаграждение на наетите лица по трудово и служебно правоотношение през 2024 г. са: </w:t>
      </w:r>
    </w:p>
    <w:p w14:paraId="703829C8" w14:textId="77777777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„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Производство и разпределение на електрическа и топлинна енергия и на газообразни горива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“ -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65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 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104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лева;</w:t>
      </w:r>
    </w:p>
    <w:p w14:paraId="35A7C3B6" w14:textId="77777777" w:rsidR="00B65CF0" w:rsidRPr="00074095" w:rsidRDefault="00B65CF0" w:rsidP="00B65CF0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„Създаване и разпространение на информация и творчески продукти; далекосъобщения“ - 30 667 лева;</w:t>
      </w:r>
    </w:p>
    <w:p w14:paraId="000BDFE2" w14:textId="5D838BCA" w:rsidR="00B65CF0" w:rsidRPr="00074095" w:rsidRDefault="00B65CF0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 xml:space="preserve">„Държавно управление“ </w:t>
      </w:r>
      <w:r w:rsidR="00134EF4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134EF4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29 108 лева;</w:t>
      </w:r>
    </w:p>
    <w:p w14:paraId="62988E82" w14:textId="1BB216BC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„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Образование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“ </w:t>
      </w:r>
      <w:r w:rsidR="00134EF4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134EF4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27 128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лева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14:paraId="119FEDEB" w14:textId="3159369F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„</w:t>
      </w:r>
      <w:r w:rsidR="00B65CF0" w:rsidRPr="00074095">
        <w:rPr>
          <w:lang w:val="bg-BG"/>
        </w:rPr>
        <w:t xml:space="preserve">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Хуманно здравеопазване и социална работа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“ </w:t>
      </w:r>
      <w:r w:rsidR="00134EF4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134EF4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23 551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лева.</w:t>
      </w:r>
    </w:p>
    <w:p w14:paraId="3F770592" w14:textId="77777777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Най-ниско платени са били наетите лица в икономическите дейности:</w:t>
      </w:r>
    </w:p>
    <w:p w14:paraId="541D8A87" w14:textId="4FD47BB1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 xml:space="preserve">„Други дейности“ </w:t>
      </w:r>
      <w:r w:rsidR="00134EF4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134EF4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14 131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лева; </w:t>
      </w:r>
    </w:p>
    <w:p w14:paraId="0C584ABE" w14:textId="65A0131E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„</w:t>
      </w:r>
      <w:r w:rsidR="00B154D9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Строителство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“ </w:t>
      </w:r>
      <w:r w:rsidR="00134EF4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134EF4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B154D9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14 734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лева;</w:t>
      </w:r>
    </w:p>
    <w:p w14:paraId="32380B81" w14:textId="2C6982BC" w:rsidR="00F822A9" w:rsidRPr="00074095" w:rsidRDefault="00F822A9" w:rsidP="00F822A9">
      <w:pPr>
        <w:tabs>
          <w:tab w:val="left" w:pos="851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•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„</w:t>
      </w:r>
      <w:r w:rsidR="00B154D9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Административни и спомагателни дейности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“ </w:t>
      </w:r>
      <w:r w:rsidR="00134EF4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134EF4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</w:t>
      </w:r>
      <w:r w:rsidR="00B154D9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4 8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10 лева.</w:t>
      </w:r>
    </w:p>
    <w:p w14:paraId="2B1E1B59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По размер на средната работна заплата за 2024 г. област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Добрич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е на </w:t>
      </w:r>
      <w:r w:rsidR="00B65CF0"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>18-то</w:t>
      </w:r>
      <w:r w:rsidRPr="00074095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място спрямо другите области в страната. Най-високо е заплащането в областите София (столица) - 38 728 лв., а най-ниско в област Смолян - 18 909 лева. </w:t>
      </w:r>
    </w:p>
    <w:p w14:paraId="3D0BE3BF" w14:textId="77777777" w:rsidR="004E7C2C" w:rsidRPr="00074095" w:rsidRDefault="004E7C2C" w:rsidP="00F822A9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0C2CFBFE" w14:textId="77777777" w:rsidR="004E7C2C" w:rsidRPr="00074095" w:rsidRDefault="004E7C2C" w:rsidP="004E7C2C">
      <w:pPr>
        <w:spacing w:before="16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lastRenderedPageBreak/>
        <w:t>Фиг. 2. Средна брутна годишна работна заплата по области през 2024 година</w:t>
      </w:r>
    </w:p>
    <w:p w14:paraId="34CBFE70" w14:textId="0E51F4BE" w:rsidR="00F822A9" w:rsidRPr="00074095" w:rsidRDefault="00D47469" w:rsidP="00F822A9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>
        <w:rPr>
          <w:noProof/>
          <w:lang w:val="bg-BG" w:eastAsia="bg-BG"/>
        </w:rPr>
        <w:drawing>
          <wp:inline distT="0" distB="0" distL="0" distR="0" wp14:anchorId="7926CDCC" wp14:editId="070EFC7E">
            <wp:extent cx="5760085" cy="7483475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ECED40" w14:textId="77777777" w:rsidR="00F822A9" w:rsidRPr="00074095" w:rsidRDefault="00F822A9" w:rsidP="00F822A9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</w:p>
    <w:p w14:paraId="6C566C91" w14:textId="77777777" w:rsidR="00F822A9" w:rsidRPr="00074095" w:rsidRDefault="00F822A9" w:rsidP="00F822A9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</w:p>
    <w:p w14:paraId="4A8FD8FB" w14:textId="77777777" w:rsidR="00F822A9" w:rsidRPr="00074095" w:rsidRDefault="00F822A9" w:rsidP="004E7C2C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074095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Методологични бележки</w:t>
      </w:r>
    </w:p>
    <w:p w14:paraId="0B83FB04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074095">
        <w:rPr>
          <w:rFonts w:ascii="Verdana" w:hAnsi="Verdana"/>
          <w:sz w:val="20"/>
          <w:szCs w:val="20"/>
          <w:lang w:val="bg-BG"/>
        </w:rPr>
        <w:t xml:space="preserve">Данните са получени от годишното изследване на заетите лица, средствата за работна заплата и други разходи за труд, което е изчерпателно за всички предприятия от обществения и частния сектор, независимо от вида на тяхната икономическа дейност и действащото законодателство, по което са създадени и регистрирани. </w:t>
      </w:r>
    </w:p>
    <w:p w14:paraId="61417628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074095">
        <w:rPr>
          <w:rFonts w:ascii="Verdana" w:hAnsi="Verdana"/>
          <w:b/>
          <w:sz w:val="20"/>
          <w:szCs w:val="20"/>
          <w:lang w:val="bg-BG"/>
        </w:rPr>
        <w:t>Наети лица</w:t>
      </w:r>
      <w:r w:rsidRPr="00074095">
        <w:rPr>
          <w:rFonts w:ascii="Verdana" w:hAnsi="Verdana"/>
          <w:sz w:val="20"/>
          <w:szCs w:val="20"/>
          <w:lang w:val="bg-BG"/>
        </w:rPr>
        <w:t xml:space="preserve"> са лицата, които са в трудово правоотношение с работодателя съгласно Кодекса на труда и в служебно правоотношение съгласно Закона за държавния служител, по силата на които правоотношения те получават възнаграждение в пари или натура под формата на работна заплата за извършена в определен обем и качество работа, независимо дали договорът за наемане е постоянен или временен, на пълно или непълно работно време. </w:t>
      </w:r>
    </w:p>
    <w:p w14:paraId="275ED518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074095">
        <w:rPr>
          <w:rFonts w:ascii="Verdana" w:hAnsi="Verdana"/>
          <w:b/>
          <w:sz w:val="20"/>
          <w:szCs w:val="20"/>
          <w:lang w:val="bg-BG"/>
        </w:rPr>
        <w:t>Средната годишна брутна работна заплата</w:t>
      </w:r>
      <w:r w:rsidRPr="00074095">
        <w:rPr>
          <w:rFonts w:ascii="Verdana" w:hAnsi="Verdana"/>
          <w:sz w:val="20"/>
          <w:szCs w:val="20"/>
          <w:lang w:val="bg-BG"/>
        </w:rPr>
        <w:t xml:space="preserve"> се изчислява като начислените средства за работна заплата за отчетната година се разделят на средния списъчен брой на наетите по трудово правоотношение без лицата в отпуск по майчинство.</w:t>
      </w:r>
    </w:p>
    <w:p w14:paraId="7C21B728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074095">
        <w:rPr>
          <w:rFonts w:ascii="Verdana" w:hAnsi="Verdana"/>
          <w:sz w:val="20"/>
          <w:szCs w:val="20"/>
          <w:lang w:val="bg-BG"/>
        </w:rPr>
        <w:t>Методологията на годишното изследване на заетите лица, средствата за работна заплата и други разходи за труд, както и актуални данни, могат да се намерят на уеб сайта на НСИ и в Информационна система Инфостат.</w:t>
      </w:r>
    </w:p>
    <w:p w14:paraId="347C77A3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260676AB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6103386A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5398207C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0E23170E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73383E0A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4FB0EA30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51150449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2E523DFC" w14:textId="77777777" w:rsidR="00F822A9" w:rsidRPr="00074095" w:rsidRDefault="00F822A9" w:rsidP="00F822A9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2420C1BE" w14:textId="77777777" w:rsidR="00CB15CB" w:rsidRPr="00074095" w:rsidRDefault="00CB15CB" w:rsidP="00B65CF0">
      <w:pPr>
        <w:spacing w:after="0" w:line="360" w:lineRule="auto"/>
        <w:jc w:val="both"/>
        <w:rPr>
          <w:rFonts w:ascii="Calibri" w:eastAsia="Calibri" w:hAnsi="Calibri" w:cs="Times New Roman"/>
          <w:lang w:val="bg-BG"/>
        </w:rPr>
      </w:pPr>
    </w:p>
    <w:sectPr w:rsidR="00CB15CB" w:rsidRPr="00074095" w:rsidSect="006A4C8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D9DD" w14:textId="77777777" w:rsidR="005A5A06" w:rsidRDefault="005A5A06" w:rsidP="00D83F28">
      <w:pPr>
        <w:spacing w:after="0" w:line="240" w:lineRule="auto"/>
      </w:pPr>
      <w:r>
        <w:separator/>
      </w:r>
    </w:p>
  </w:endnote>
  <w:endnote w:type="continuationSeparator" w:id="0">
    <w:p w14:paraId="686F1FB8" w14:textId="77777777" w:rsidR="005A5A06" w:rsidRDefault="005A5A06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7E1B" w14:textId="77777777" w:rsidR="00207265" w:rsidRPr="008A1ADD" w:rsidRDefault="00D83F28" w:rsidP="00207265">
    <w:pPr>
      <w:pStyle w:val="BodyText"/>
      <w:tabs>
        <w:tab w:val="left" w:pos="3375"/>
      </w:tabs>
      <w:spacing w:before="196"/>
      <w:jc w:val="center"/>
      <w:rPr>
        <w:rFonts w:ascii="Verdana" w:hAnsi="Verdana"/>
        <w:noProof/>
        <w:spacing w:val="-2"/>
        <w:sz w:val="16"/>
        <w:szCs w:val="16"/>
        <w:lang w:eastAsia="bg-BG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1E0A93" wp14:editId="538868B7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EE80A" w14:textId="0E5910C7"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7724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1E0A9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6" type="#_x0000_t176" style="position:absolute;left:0;text-align:left;margin-left:463.1pt;margin-top:1.05pt;width:34.5pt;height:34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14:paraId="1F6EE80A" w14:textId="0E5910C7"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47724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32620FA" wp14:editId="58CBF142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9619D" id="Rectangle 7" o:spid="_x0000_s1026" style="position:absolute;margin-left:470.7pt;margin-top:-.4pt;width:22.5pt;height:98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2F35409" wp14:editId="6BEB95B0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6DF4B" id="Graphic 8" o:spid="_x0000_s1026" style="position:absolute;margin-left:0;margin-top:8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207265">
      <w:rPr>
        <w:rFonts w:ascii="Verdana" w:hAnsi="Verdana"/>
        <w:noProof/>
        <w:color w:val="31312F"/>
        <w:spacing w:val="-2"/>
        <w:sz w:val="16"/>
        <w:szCs w:val="16"/>
        <w:lang w:val="en-US" w:eastAsia="bg-BG"/>
      </w:rPr>
      <w:t>9</w:t>
    </w:r>
    <w:r w:rsidR="00207265" w:rsidRPr="008A1ADD">
      <w:rPr>
        <w:rFonts w:ascii="Verdana" w:hAnsi="Verdana"/>
        <w:noProof/>
        <w:spacing w:val="-2"/>
        <w:sz w:val="16"/>
        <w:szCs w:val="16"/>
        <w:lang w:eastAsia="bg-BG"/>
      </w:rPr>
      <w:t xml:space="preserve">027 Варна, бул. „Сливница“ № 191, тел. +359 52 575222, e-mail: PKazakova@nsi.bg </w:t>
    </w:r>
  </w:p>
  <w:p w14:paraId="72BEB96F" w14:textId="77777777" w:rsidR="00207265" w:rsidRPr="008A1ADD" w:rsidRDefault="00207265" w:rsidP="00207265">
    <w:pPr>
      <w:pStyle w:val="NoSpacing"/>
      <w:jc w:val="center"/>
      <w:rPr>
        <w:rFonts w:ascii="Verdana" w:hAnsi="Verdana"/>
        <w:sz w:val="16"/>
        <w:szCs w:val="16"/>
      </w:rPr>
    </w:pPr>
    <w:r w:rsidRPr="008A1ADD">
      <w:rPr>
        <w:rFonts w:ascii="Verdana" w:hAnsi="Verdana"/>
        <w:noProof/>
        <w:sz w:val="16"/>
        <w:szCs w:val="16"/>
        <w:lang w:eastAsia="bg-BG"/>
      </w:rPr>
      <w:t>9300 Добрич, пл. „Свобода“ № 5, тел. +359 58 655312, e-mail: ZPopcheva@nsi.bg</w:t>
    </w:r>
  </w:p>
  <w:p w14:paraId="19DCB942" w14:textId="77777777" w:rsidR="00D83F28" w:rsidRDefault="00D83F28" w:rsidP="008E6CB5">
    <w:pPr>
      <w:pStyle w:val="BodyText"/>
      <w:tabs>
        <w:tab w:val="left" w:pos="3375"/>
      </w:tabs>
      <w:spacing w:before="19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0040C" w14:textId="77777777" w:rsidR="00D83F28" w:rsidRDefault="00D83F28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2672E6" wp14:editId="5D12A211">
              <wp:simplePos x="0" y="0"/>
              <wp:positionH relativeFrom="rightMargin">
                <wp:posOffset>62534</wp:posOffset>
              </wp:positionH>
              <wp:positionV relativeFrom="paragraph">
                <wp:posOffset>27940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FFA86" w14:textId="73CB309D"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7724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672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8" type="#_x0000_t176" style="position:absolute;margin-left:4.9pt;margin-top:2.2pt;width:34.5pt;height:34.75pt;z-index:2516715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" filled="f" fillcolor="#5c83b4" stroked="f" strokecolor="#737373">
              <v:textbox>
                <w:txbxContent>
                  <w:p w14:paraId="14CFFA86" w14:textId="73CB309D"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47724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EE04F14" wp14:editId="6E467121">
              <wp:simplePos x="0" y="0"/>
              <wp:positionH relativeFrom="margin">
                <wp:posOffset>5911850</wp:posOffset>
              </wp:positionH>
              <wp:positionV relativeFrom="paragraph">
                <wp:posOffset>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33CDB" id="Rectangle 28" o:spid="_x0000_s1026" style="position:absolute;margin-left:465.5pt;margin-top:0;width:22.5pt;height:98.25pt;z-index:-25164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" fillcolor="#a5a5a5 [3206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DD66" w14:textId="77777777" w:rsidR="005A5A06" w:rsidRDefault="005A5A06" w:rsidP="00D83F28">
      <w:pPr>
        <w:spacing w:after="0" w:line="240" w:lineRule="auto"/>
      </w:pPr>
      <w:r>
        <w:separator/>
      </w:r>
    </w:p>
  </w:footnote>
  <w:footnote w:type="continuationSeparator" w:id="0">
    <w:p w14:paraId="12DB7714" w14:textId="77777777" w:rsidR="005A5A06" w:rsidRDefault="005A5A06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F8C85" w14:textId="77777777" w:rsidR="00F822A9" w:rsidRPr="0023406E" w:rsidRDefault="00F822A9" w:rsidP="00F822A9">
    <w:pPr>
      <w:spacing w:after="0" w:line="360" w:lineRule="auto"/>
      <w:jc w:val="center"/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</w:pPr>
    <w:r w:rsidRPr="00F822A9"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  <w:t xml:space="preserve"> </w:t>
    </w:r>
    <w:r w:rsidRPr="0023406E"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  <w:t>Годишна статистика на заетостта и разходите за труд</w:t>
    </w:r>
  </w:p>
  <w:p w14:paraId="308EA189" w14:textId="77777777" w:rsidR="00D83F28" w:rsidRPr="00F76D42" w:rsidRDefault="00F822A9" w:rsidP="00F822A9">
    <w:pPr>
      <w:jc w:val="center"/>
      <w:rPr>
        <w:lang w:val="bg-BG"/>
      </w:rPr>
    </w:pPr>
    <w:r w:rsidRPr="00DD11CB">
      <w:rPr>
        <w:rFonts w:ascii="Verdana" w:hAnsi="Verdana"/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86876B3" wp14:editId="2A9E5B37">
              <wp:simplePos x="0" y="0"/>
              <wp:positionH relativeFrom="margin">
                <wp:align>left</wp:align>
              </wp:positionH>
              <wp:positionV relativeFrom="paragraph">
                <wp:posOffset>419100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42C60" id="Graphic 7" o:spid="_x0000_s1026" style="position:absolute;margin-left:0;margin-top:33pt;width:477.7pt;height:.1pt;z-index:-25164288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CJpjEw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23406E"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  <w:t xml:space="preserve">в област </w:t>
    </w:r>
    <w:r>
      <w:rPr>
        <w:rFonts w:ascii="Verdana" w:eastAsia="Times New Roman" w:hAnsi="Verdana" w:cs="Times New Roman"/>
        <w:b/>
        <w:bCs/>
        <w:iCs/>
        <w:caps/>
        <w:sz w:val="20"/>
        <w:szCs w:val="20"/>
        <w:lang w:val="bg-BG" w:eastAsia="bg-BG"/>
      </w:rPr>
      <w:t>ДОБРИЧ</w:t>
    </w:r>
    <w:r w:rsidRPr="0023406E"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  <w:t xml:space="preserve"> през </w:t>
    </w:r>
    <w:r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  <w:t>2024</w:t>
    </w:r>
    <w:r w:rsidRPr="0023406E">
      <w:rPr>
        <w:rFonts w:ascii="Verdana" w:eastAsia="Times New Roman" w:hAnsi="Verdana" w:cs="Times New Roman"/>
        <w:b/>
        <w:bCs/>
        <w:iCs/>
        <w:caps/>
        <w:sz w:val="20"/>
        <w:szCs w:val="20"/>
        <w:lang w:eastAsia="bg-BG"/>
      </w:rPr>
      <w:t xml:space="preserve"> година</w:t>
    </w:r>
    <w:r w:rsidR="00207265" w:rsidRPr="00DD11CB">
      <w:rPr>
        <w:rFonts w:ascii="Verdana" w:hAnsi="Verdana"/>
        <w:noProof/>
        <w:sz w:val="20"/>
        <w:lang w:val="bg-BG" w:eastAsia="bg-BG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34EA" w14:textId="77777777" w:rsidR="00D83F28" w:rsidRPr="00D83F28" w:rsidRDefault="001F4BD4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76672" behindDoc="0" locked="0" layoutInCell="1" allowOverlap="1" wp14:anchorId="47DA7886" wp14:editId="234E82A0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42"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F5F4B7" wp14:editId="17B9D9FD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906E0" w14:textId="77777777" w:rsidR="00D83F28" w:rsidRDefault="00D83F28" w:rsidP="00D60CD2">
                          <w:pPr>
                            <w:spacing w:after="0"/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2D8984D6" w14:textId="77777777" w:rsidR="00D83F28" w:rsidRPr="00D83F28" w:rsidRDefault="00D83F28" w:rsidP="00D83F28">
                          <w:pPr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  <w:lang w:val="bg-BG"/>
                            </w:rPr>
                          </w:pPr>
                          <w:r w:rsidRPr="00D83F28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  <w:lang w:val="bg-BG"/>
                            </w:rPr>
                            <w:t>Национален статистически институт</w:t>
                          </w:r>
                        </w:p>
                        <w:p w14:paraId="0FB9C7D5" w14:textId="77777777"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  <w:lang w:val="bg-BG"/>
                      </w:rPr>
                    </w:pPr>
                    <w:r w:rsidRPr="00D83F28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  <w:lang w:val="bg-BG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FEC79A7" wp14:editId="3E03E518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6789300" wp14:editId="4AAC3334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="00F76D42"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4B352150" wp14:editId="504BE895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1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74095"/>
    <w:rsid w:val="000B45E7"/>
    <w:rsid w:val="00134EF4"/>
    <w:rsid w:val="00147724"/>
    <w:rsid w:val="001E3B8D"/>
    <w:rsid w:val="001F4BD4"/>
    <w:rsid w:val="00207265"/>
    <w:rsid w:val="00266E6D"/>
    <w:rsid w:val="00294051"/>
    <w:rsid w:val="002E2513"/>
    <w:rsid w:val="00331197"/>
    <w:rsid w:val="003829C6"/>
    <w:rsid w:val="003903FD"/>
    <w:rsid w:val="003A18FF"/>
    <w:rsid w:val="003E75E1"/>
    <w:rsid w:val="00411785"/>
    <w:rsid w:val="00434F25"/>
    <w:rsid w:val="004419A0"/>
    <w:rsid w:val="00467A6C"/>
    <w:rsid w:val="00490642"/>
    <w:rsid w:val="004E7C2C"/>
    <w:rsid w:val="005044B9"/>
    <w:rsid w:val="005A5A06"/>
    <w:rsid w:val="005C291E"/>
    <w:rsid w:val="005E509B"/>
    <w:rsid w:val="005F2D21"/>
    <w:rsid w:val="00643044"/>
    <w:rsid w:val="006A4C8F"/>
    <w:rsid w:val="006E7A71"/>
    <w:rsid w:val="00704CBC"/>
    <w:rsid w:val="007422C6"/>
    <w:rsid w:val="007643F0"/>
    <w:rsid w:val="00767243"/>
    <w:rsid w:val="007A1132"/>
    <w:rsid w:val="007C0330"/>
    <w:rsid w:val="007F122B"/>
    <w:rsid w:val="008A1ADD"/>
    <w:rsid w:val="008B2969"/>
    <w:rsid w:val="008C29FA"/>
    <w:rsid w:val="008E6CB5"/>
    <w:rsid w:val="009757F5"/>
    <w:rsid w:val="009C7A17"/>
    <w:rsid w:val="00AC35E4"/>
    <w:rsid w:val="00B154D9"/>
    <w:rsid w:val="00B65CF0"/>
    <w:rsid w:val="00BD4F85"/>
    <w:rsid w:val="00C96BED"/>
    <w:rsid w:val="00CB15CB"/>
    <w:rsid w:val="00D47469"/>
    <w:rsid w:val="00D60CD2"/>
    <w:rsid w:val="00D83F28"/>
    <w:rsid w:val="00DE3D0F"/>
    <w:rsid w:val="00E23B9C"/>
    <w:rsid w:val="00E457DF"/>
    <w:rsid w:val="00E733C7"/>
    <w:rsid w:val="00EA23F0"/>
    <w:rsid w:val="00EB47C5"/>
    <w:rsid w:val="00ED523B"/>
    <w:rsid w:val="00EF4FC0"/>
    <w:rsid w:val="00F2135E"/>
    <w:rsid w:val="00F63205"/>
    <w:rsid w:val="00F76D42"/>
    <w:rsid w:val="00F822A9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F8DFFA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5CB"/>
    <w:rPr>
      <w:sz w:val="20"/>
      <w:szCs w:val="20"/>
      <w:lang w:val="en-US"/>
    </w:rPr>
  </w:style>
  <w:style w:type="character" w:styleId="FootnoteReference">
    <w:name w:val="footnote reference"/>
    <w:unhideWhenUsed/>
    <w:rsid w:val="00CB15CB"/>
    <w:rPr>
      <w:vertAlign w:val="superscript"/>
    </w:rPr>
  </w:style>
  <w:style w:type="paragraph" w:styleId="NoSpacing">
    <w:name w:val="No Spacing"/>
    <w:uiPriority w:val="1"/>
    <w:qFormat/>
    <w:rsid w:val="0020726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71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EF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EF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100082039244555E-2"/>
          <c:y val="4.1212121212121214E-2"/>
          <c:w val="0.83307612132465647"/>
          <c:h val="0.803242567406346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Dobrich!$A$2</c:f>
              <c:strCache>
                <c:ptCount val="1"/>
                <c:pt idx="0">
                  <c:v>Добрич (Общо)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dLbl>
              <c:idx val="3"/>
              <c:layout>
                <c:manualLayout>
                  <c:x val="0"/>
                  <c:y val="7.2727272727272727E-3"/>
                </c:manualLayout>
              </c:layout>
              <c:spPr>
                <a:solidFill>
                  <a:schemeClr val="bg1"/>
                </a:solidFill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/>
                    </a:defRPr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1A-4858-ADB5-A9D2B5F3AFDF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Dobrich!$B$1:$L$1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Dobrich!$B$2:$L$2</c:f>
              <c:numCache>
                <c:formatCode>General</c:formatCode>
                <c:ptCount val="11"/>
                <c:pt idx="0">
                  <c:v>7581</c:v>
                </c:pt>
                <c:pt idx="1">
                  <c:v>8084</c:v>
                </c:pt>
                <c:pt idx="2">
                  <c:v>8705</c:v>
                </c:pt>
                <c:pt idx="3">
                  <c:v>9539</c:v>
                </c:pt>
                <c:pt idx="4">
                  <c:v>10429</c:v>
                </c:pt>
                <c:pt idx="5">
                  <c:v>11440</c:v>
                </c:pt>
                <c:pt idx="6">
                  <c:v>12548</c:v>
                </c:pt>
                <c:pt idx="7">
                  <c:v>14099</c:v>
                </c:pt>
                <c:pt idx="8">
                  <c:v>15837</c:v>
                </c:pt>
                <c:pt idx="9">
                  <c:v>18200</c:v>
                </c:pt>
                <c:pt idx="10">
                  <c:v>20840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A-4858-ADB5-A9D2B5F3AFDF}"/>
            </c:ext>
          </c:extLst>
        </c:ser>
        <c:ser>
          <c:idx val="1"/>
          <c:order val="1"/>
          <c:tx>
            <c:strRef>
              <c:f>Dobrich!$A$3</c:f>
              <c:strCache>
                <c:ptCount val="1"/>
                <c:pt idx="0">
                  <c:v>Добрич (Обществен сектор)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2047391951180004E-17"/>
                  <c:y val="6.1585820325551375E-3"/>
                </c:manualLayout>
              </c:layout>
              <c:spPr>
                <a:solidFill>
                  <a:schemeClr val="bg1"/>
                </a:solidFill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/>
                    </a:defRPr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1A-4858-ADB5-A9D2B5F3AFDF}"/>
                </c:ext>
              </c:extLst>
            </c:dLbl>
            <c:dLbl>
              <c:idx val="1"/>
              <c:layout>
                <c:manualLayout>
                  <c:x val="0"/>
                  <c:y val="9.2378730488327059E-3"/>
                </c:manualLayout>
              </c:layout>
              <c:spPr>
                <a:solidFill>
                  <a:schemeClr val="bg1"/>
                </a:solidFill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/>
                    </a:defRPr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1A-4858-ADB5-A9D2B5F3AFDF}"/>
                </c:ext>
              </c:extLst>
            </c:dLbl>
            <c:dLbl>
              <c:idx val="2"/>
              <c:layout>
                <c:manualLayout>
                  <c:x val="0"/>
                  <c:y val="-1.5396458814472727E-2"/>
                </c:manualLayout>
              </c:layout>
              <c:spPr>
                <a:solidFill>
                  <a:schemeClr val="bg1"/>
                </a:solidFill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/>
                    </a:defRPr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1A-4858-ADB5-A9D2B5F3AFDF}"/>
                </c:ext>
              </c:extLst>
            </c:dLbl>
            <c:dLbl>
              <c:idx val="6"/>
              <c:layout>
                <c:manualLayout>
                  <c:x val="0"/>
                  <c:y val="-1.8475750577367205E-2"/>
                </c:manualLayout>
              </c:layout>
              <c:spPr>
                <a:solidFill>
                  <a:schemeClr val="bg1"/>
                </a:solidFill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Times New Roman"/>
                    </a:defRPr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1A-4858-ADB5-A9D2B5F3AFDF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Dobrich!$B$1:$L$1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Dobrich!$B$3:$L$3</c:f>
              <c:numCache>
                <c:formatCode>General</c:formatCode>
                <c:ptCount val="11"/>
                <c:pt idx="0">
                  <c:v>8589</c:v>
                </c:pt>
                <c:pt idx="1">
                  <c:v>8986</c:v>
                </c:pt>
                <c:pt idx="2">
                  <c:v>9579</c:v>
                </c:pt>
                <c:pt idx="3">
                  <c:v>10487</c:v>
                </c:pt>
                <c:pt idx="4">
                  <c:v>11501</c:v>
                </c:pt>
                <c:pt idx="5">
                  <c:v>13189</c:v>
                </c:pt>
                <c:pt idx="6">
                  <c:v>15058</c:v>
                </c:pt>
                <c:pt idx="7">
                  <c:v>17225</c:v>
                </c:pt>
                <c:pt idx="8">
                  <c:v>18482</c:v>
                </c:pt>
                <c:pt idx="9">
                  <c:v>21563</c:v>
                </c:pt>
                <c:pt idx="10">
                  <c:v>24702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1A-4858-ADB5-A9D2B5F3AFDF}"/>
            </c:ext>
          </c:extLst>
        </c:ser>
        <c:ser>
          <c:idx val="2"/>
          <c:order val="2"/>
          <c:tx>
            <c:strRef>
              <c:f>Dobrich!$A$4</c:f>
              <c:strCache>
                <c:ptCount val="1"/>
                <c:pt idx="0">
                  <c:v>Добрич (Частен сектор)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6.296732788971693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1A-4858-ADB5-A9D2B5F3AFDF}"/>
                </c:ext>
              </c:extLst>
            </c:dLbl>
            <c:dLbl>
              <c:idx val="2"/>
              <c:layout>
                <c:manualLayout>
                  <c:x val="4.722549591728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1A-4858-ADB5-A9D2B5F3AFDF}"/>
                </c:ext>
              </c:extLst>
            </c:dLbl>
            <c:dLbl>
              <c:idx val="3"/>
              <c:layout>
                <c:manualLayout>
                  <c:x val="4.722549591728770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1A-4858-ADB5-A9D2B5F3AFDF}"/>
                </c:ext>
              </c:extLst>
            </c:dLbl>
            <c:dLbl>
              <c:idx val="4"/>
              <c:layout>
                <c:manualLayout>
                  <c:x val="6.2967327889716365E-3"/>
                  <c:y val="4.69483568075108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1A-4858-ADB5-A9D2B5F3AFDF}"/>
                </c:ext>
              </c:extLst>
            </c:dLbl>
            <c:dLbl>
              <c:idx val="7"/>
              <c:layout>
                <c:manualLayout>
                  <c:x val="3.148366394485846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1A-4858-ADB5-A9D2B5F3AFDF}"/>
                </c:ext>
              </c:extLst>
            </c:dLbl>
            <c:dLbl>
              <c:idx val="8"/>
              <c:layout>
                <c:manualLayout>
                  <c:x val="6.2967327889716937E-3"/>
                  <c:y val="-4.303549659049011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71A-4858-ADB5-A9D2B5F3AFDF}"/>
                </c:ext>
              </c:extLst>
            </c:dLbl>
            <c:dLbl>
              <c:idx val="10"/>
              <c:layout>
                <c:manualLayout>
                  <c:x val="4.7225495917287705E-3"/>
                  <c:y val="-2.34741784037558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1A-4858-ADB5-A9D2B5F3AFDF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Dobrich!$B$1:$L$1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Dobrich!$B$4:$L$4</c:f>
              <c:numCache>
                <c:formatCode>General</c:formatCode>
                <c:ptCount val="11"/>
                <c:pt idx="0">
                  <c:v>7212</c:v>
                </c:pt>
                <c:pt idx="1">
                  <c:v>7757</c:v>
                </c:pt>
                <c:pt idx="2">
                  <c:v>8398</c:v>
                </c:pt>
                <c:pt idx="3">
                  <c:v>9216</c:v>
                </c:pt>
                <c:pt idx="4">
                  <c:v>10069</c:v>
                </c:pt>
                <c:pt idx="5">
                  <c:v>10838</c:v>
                </c:pt>
                <c:pt idx="6">
                  <c:v>11586</c:v>
                </c:pt>
                <c:pt idx="7">
                  <c:v>12864</c:v>
                </c:pt>
                <c:pt idx="8">
                  <c:v>14786</c:v>
                </c:pt>
                <c:pt idx="9">
                  <c:v>16843</c:v>
                </c:pt>
                <c:pt idx="10">
                  <c:v>19235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71A-4858-ADB5-A9D2B5F3A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428755344"/>
        <c:axId val="1"/>
      </c:barChart>
      <c:catAx>
        <c:axId val="1428755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r>
                  <a:rPr lang="bg-BG" sz="800">
                    <a:latin typeface="Verdana" panose="020B0604030504040204" pitchFamily="34" charset="0"/>
                    <a:ea typeface="Verdana" panose="020B0604030504040204" pitchFamily="34" charset="0"/>
                  </a:rPr>
                  <a:t>Левове</a:t>
                </a:r>
                <a:endParaRPr lang="en-US" sz="800">
                  <a:latin typeface="Verdana" panose="020B0604030504040204" pitchFamily="34" charset="0"/>
                  <a:ea typeface="Verdana" panose="020B0604030504040204" pitchFamily="34" charset="0"/>
                </a:endParaRPr>
              </a:p>
            </c:rich>
          </c:tx>
          <c:layout>
            <c:manualLayout>
              <c:xMode val="edge"/>
              <c:yMode val="edge"/>
              <c:x val="7.603987518089167E-2"/>
              <c:y val="5.4602417655539182E-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/>
              </a:defRPr>
            </a:pPr>
            <a:endParaRPr lang="bg-BG"/>
          </a:p>
        </c:txPr>
        <c:crossAx val="14287553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0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313153413075275"/>
          <c:y val="1.7607042817126852E-2"/>
          <c:w val="0.72778457654625228"/>
          <c:h val="0.94229427203952443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Pt>
            <c:idx val="9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0C3A-4B35-A33A-771736427229}"/>
              </c:ext>
            </c:extLst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0C3A-4B35-A33A-771736427229}"/>
              </c:ext>
            </c:extLst>
          </c:dPt>
          <c:dPt>
            <c:idx val="11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5-0C3A-4B35-A33A-771736427229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C3A-4B35-A33A-771736427229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C3A-4B35-A33A-771736427229}"/>
              </c:ext>
            </c:extLst>
          </c:dPt>
          <c:dPt>
            <c:idx val="27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9-0C3A-4B35-A33A-771736427229}"/>
              </c:ext>
            </c:extLst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'2023'!$A$2:$A$30</c:f>
              <c:strCache>
                <c:ptCount val="29"/>
                <c:pt idx="0">
                  <c:v>Смолян</c:v>
                </c:pt>
                <c:pt idx="1">
                  <c:v>Кюстендил</c:v>
                </c:pt>
                <c:pt idx="2">
                  <c:v>Благоевград</c:v>
                </c:pt>
                <c:pt idx="3">
                  <c:v>Хасково</c:v>
                </c:pt>
                <c:pt idx="4">
                  <c:v>Видин </c:v>
                </c:pt>
                <c:pt idx="5">
                  <c:v>Силистра</c:v>
                </c:pt>
                <c:pt idx="6">
                  <c:v>Кърджали</c:v>
                </c:pt>
                <c:pt idx="7">
                  <c:v>Сливен</c:v>
                </c:pt>
                <c:pt idx="8">
                  <c:v>Ловеч</c:v>
                </c:pt>
                <c:pt idx="9">
                  <c:v>Монтана</c:v>
                </c:pt>
                <c:pt idx="10">
                  <c:v>Добрич</c:v>
                </c:pt>
                <c:pt idx="11">
                  <c:v>Ямбол</c:v>
                </c:pt>
                <c:pt idx="12">
                  <c:v>Търговище</c:v>
                </c:pt>
                <c:pt idx="13">
                  <c:v>Пазарджик</c:v>
                </c:pt>
                <c:pt idx="14">
                  <c:v>Велико Търново</c:v>
                </c:pt>
                <c:pt idx="15">
                  <c:v>Перник</c:v>
                </c:pt>
                <c:pt idx="16">
                  <c:v>Бургас</c:v>
                </c:pt>
                <c:pt idx="17">
                  <c:v>Разград</c:v>
                </c:pt>
                <c:pt idx="18">
                  <c:v>Плевен</c:v>
                </c:pt>
                <c:pt idx="19">
                  <c:v>Шумен</c:v>
                </c:pt>
                <c:pt idx="20">
                  <c:v>Габрово</c:v>
                </c:pt>
                <c:pt idx="21">
                  <c:v>Русе</c:v>
                </c:pt>
                <c:pt idx="22">
                  <c:v>Пловдив</c:v>
                </c:pt>
                <c:pt idx="23">
                  <c:v>Стара Загора</c:v>
                </c:pt>
                <c:pt idx="24">
                  <c:v>Враца</c:v>
                </c:pt>
                <c:pt idx="25">
                  <c:v>София</c:v>
                </c:pt>
                <c:pt idx="26">
                  <c:v>Варна</c:v>
                </c:pt>
                <c:pt idx="27">
                  <c:v>Общо страната</c:v>
                </c:pt>
                <c:pt idx="28">
                  <c:v>София(столица)</c:v>
                </c:pt>
              </c:strCache>
            </c:strRef>
          </c:cat>
          <c:val>
            <c:numRef>
              <c:f>'2023'!$B$2:$B$30</c:f>
              <c:numCache>
                <c:formatCode>0</c:formatCode>
                <c:ptCount val="29"/>
                <c:pt idx="0">
                  <c:v>18909</c:v>
                </c:pt>
                <c:pt idx="1">
                  <c:v>18976</c:v>
                </c:pt>
                <c:pt idx="2">
                  <c:v>19037</c:v>
                </c:pt>
                <c:pt idx="3">
                  <c:v>19421</c:v>
                </c:pt>
                <c:pt idx="4">
                  <c:v>19445</c:v>
                </c:pt>
                <c:pt idx="5">
                  <c:v>19471</c:v>
                </c:pt>
                <c:pt idx="6">
                  <c:v>20323</c:v>
                </c:pt>
                <c:pt idx="7">
                  <c:v>20526</c:v>
                </c:pt>
                <c:pt idx="8">
                  <c:v>20666</c:v>
                </c:pt>
                <c:pt idx="9">
                  <c:v>20728</c:v>
                </c:pt>
                <c:pt idx="10">
                  <c:v>20840</c:v>
                </c:pt>
                <c:pt idx="11">
                  <c:v>21133</c:v>
                </c:pt>
                <c:pt idx="12">
                  <c:v>21158</c:v>
                </c:pt>
                <c:pt idx="13">
                  <c:v>21392</c:v>
                </c:pt>
                <c:pt idx="14">
                  <c:v>21565</c:v>
                </c:pt>
                <c:pt idx="15">
                  <c:v>21641</c:v>
                </c:pt>
                <c:pt idx="16">
                  <c:v>21644</c:v>
                </c:pt>
                <c:pt idx="17">
                  <c:v>21765</c:v>
                </c:pt>
                <c:pt idx="18">
                  <c:v>21930</c:v>
                </c:pt>
                <c:pt idx="19">
                  <c:v>22095</c:v>
                </c:pt>
                <c:pt idx="20">
                  <c:v>22267</c:v>
                </c:pt>
                <c:pt idx="21">
                  <c:v>22490</c:v>
                </c:pt>
                <c:pt idx="22">
                  <c:v>23473</c:v>
                </c:pt>
                <c:pt idx="23">
                  <c:v>24731</c:v>
                </c:pt>
                <c:pt idx="24">
                  <c:v>25052</c:v>
                </c:pt>
                <c:pt idx="25">
                  <c:v>25190</c:v>
                </c:pt>
                <c:pt idx="26">
                  <c:v>26007</c:v>
                </c:pt>
                <c:pt idx="27" formatCode="General">
                  <c:v>27898</c:v>
                </c:pt>
                <c:pt idx="28">
                  <c:v>38728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C3A-4B35-A33A-771736427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756176"/>
        <c:axId val="1"/>
      </c:barChart>
      <c:catAx>
        <c:axId val="1428756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r>
                  <a:rPr lang="bg-BG" sz="800">
                    <a:latin typeface="Verdana" panose="020B0604030504040204" pitchFamily="34" charset="0"/>
                    <a:ea typeface="Verdana" panose="020B0604030504040204" pitchFamily="34" charset="0"/>
                  </a:rPr>
                  <a:t>Левове</a:t>
                </a:r>
                <a:endParaRPr lang="en-US" sz="800">
                  <a:latin typeface="Verdana" panose="020B0604030504040204" pitchFamily="34" charset="0"/>
                  <a:ea typeface="Verdana" panose="020B0604030504040204" pitchFamily="34" charset="0"/>
                </a:endParaRPr>
              </a:p>
            </c:rich>
          </c:tx>
          <c:layout>
            <c:manualLayout>
              <c:xMode val="edge"/>
              <c:yMode val="edge"/>
              <c:x val="0.90305944581354824"/>
              <c:y val="0.93544059636493737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1428756176"/>
        <c:crosses val="autoZero"/>
        <c:crossBetween val="between"/>
        <c:majorUnit val="5000"/>
        <c:minorUnit val="5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C213-5867-4F29-BBA2-82B9DDCC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Ilga Ivanova</cp:lastModifiedBy>
  <cp:revision>12</cp:revision>
  <cp:lastPrinted>2026-02-03T14:39:00Z</cp:lastPrinted>
  <dcterms:created xsi:type="dcterms:W3CDTF">2026-02-03T09:59:00Z</dcterms:created>
  <dcterms:modified xsi:type="dcterms:W3CDTF">2026-02-03T14:40:00Z</dcterms:modified>
</cp:coreProperties>
</file>