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A8FE0" w14:textId="77777777" w:rsidR="005D6319" w:rsidRPr="00440858" w:rsidRDefault="005D6319" w:rsidP="005D6319">
      <w:pPr>
        <w:spacing w:before="160" w:after="0"/>
        <w:jc w:val="right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440858">
        <w:rPr>
          <w:rFonts w:ascii="Verdana" w:hAnsi="Verdana"/>
          <w:b/>
          <w:sz w:val="20"/>
          <w:szCs w:val="20"/>
        </w:rPr>
        <w:t>Териториално статистическо бюро - Североизток</w:t>
      </w:r>
    </w:p>
    <w:p w14:paraId="445E61E3" w14:textId="77777777" w:rsidR="005D6319" w:rsidRPr="008D4876" w:rsidRDefault="005D6319" w:rsidP="005D6319">
      <w:pPr>
        <w:tabs>
          <w:tab w:val="left" w:pos="3123"/>
        </w:tabs>
        <w:spacing w:after="0" w:line="360" w:lineRule="auto"/>
        <w:ind w:firstLine="567"/>
        <w:jc w:val="right"/>
        <w:rPr>
          <w:rFonts w:ascii="Verdana" w:eastAsia="Μοντέρνα" w:hAnsi="Verdana"/>
          <w:sz w:val="20"/>
          <w:szCs w:val="20"/>
          <w:lang w:eastAsia="bg-BG"/>
        </w:rPr>
      </w:pPr>
      <w:r w:rsidRPr="00440858">
        <w:rPr>
          <w:rFonts w:ascii="Verdana" w:hAnsi="Verdana"/>
          <w:sz w:val="20"/>
          <w:szCs w:val="20"/>
        </w:rPr>
        <w:t>Отдел „Статистически изследвания - Добрич“</w:t>
      </w:r>
    </w:p>
    <w:p w14:paraId="73DE0F50" w14:textId="7B5B5543" w:rsidR="005D6319" w:rsidRPr="00440858" w:rsidRDefault="008C3DFA" w:rsidP="00F86FF3">
      <w:pPr>
        <w:spacing w:before="160" w:line="360" w:lineRule="auto"/>
        <w:jc w:val="center"/>
        <w:rPr>
          <w:rFonts w:ascii="Verdana" w:eastAsia="Μοντέρνα" w:hAnsi="Verdana"/>
          <w:b/>
          <w:caps/>
          <w:sz w:val="20"/>
          <w:szCs w:val="20"/>
          <w:lang w:eastAsia="bg-BG"/>
        </w:rPr>
      </w:pPr>
      <w:r w:rsidRPr="00440858">
        <w:rPr>
          <w:rFonts w:ascii="Verdana" w:eastAsia="Μοντέρνα" w:hAnsi="Verdana"/>
          <w:b/>
          <w:caps/>
          <w:sz w:val="20"/>
          <w:szCs w:val="20"/>
          <w:lang w:eastAsia="bg-BG"/>
        </w:rPr>
        <w:t>Жилищен фонд в област Добрич към 31.12.202</w:t>
      </w:r>
      <w:r w:rsidRPr="00440858">
        <w:rPr>
          <w:rFonts w:ascii="Verdana" w:eastAsia="Μοντέρνα" w:hAnsi="Verdana"/>
          <w:b/>
          <w:caps/>
          <w:sz w:val="20"/>
          <w:szCs w:val="20"/>
          <w:lang w:val="en-US" w:eastAsia="bg-BG"/>
        </w:rPr>
        <w:t>4</w:t>
      </w:r>
      <w:r w:rsidRPr="00440858">
        <w:rPr>
          <w:rFonts w:ascii="Verdana" w:eastAsia="Μοντέρνα" w:hAnsi="Verdana"/>
          <w:b/>
          <w:caps/>
          <w:sz w:val="20"/>
          <w:szCs w:val="20"/>
          <w:lang w:eastAsia="bg-BG"/>
        </w:rPr>
        <w:t xml:space="preserve"> година</w:t>
      </w:r>
    </w:p>
    <w:p w14:paraId="28FE65B4" w14:textId="77777777" w:rsidR="005D6319" w:rsidRPr="002C3261" w:rsidRDefault="005D6319" w:rsidP="005D6319">
      <w:pPr>
        <w:spacing w:after="0" w:line="360" w:lineRule="auto"/>
        <w:ind w:right="-1"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2C3261">
        <w:rPr>
          <w:rFonts w:ascii="Verdana" w:eastAsia="Μοντέρνα" w:hAnsi="Verdana"/>
          <w:sz w:val="20"/>
          <w:szCs w:val="20"/>
          <w:lang w:eastAsia="bg-BG"/>
        </w:rPr>
        <w:t>По данни на Националния статистически институт към 31.12.202</w:t>
      </w:r>
      <w:r w:rsidR="005C0C2F" w:rsidRPr="002C3261">
        <w:rPr>
          <w:rFonts w:ascii="Verdana" w:eastAsia="Μοντέρνα" w:hAnsi="Verdana"/>
          <w:sz w:val="20"/>
          <w:szCs w:val="20"/>
          <w:lang w:val="en-US" w:eastAsia="bg-BG"/>
        </w:rPr>
        <w:t>4</w:t>
      </w:r>
      <w:r w:rsidRPr="002C3261">
        <w:rPr>
          <w:rFonts w:ascii="Verdana" w:eastAsia="Μοντέρνα" w:hAnsi="Verdana"/>
          <w:sz w:val="20"/>
          <w:szCs w:val="20"/>
          <w:lang w:eastAsia="bg-BG"/>
        </w:rPr>
        <w:t xml:space="preserve"> г. жилищният фонд в област Добрич се състои от </w:t>
      </w:r>
      <w:r w:rsidRPr="002C3261">
        <w:rPr>
          <w:rFonts w:ascii="Verdana" w:eastAsia="Μοντέρνα" w:hAnsi="Verdana"/>
          <w:sz w:val="20"/>
          <w:szCs w:val="20"/>
          <w:lang w:val="en-US" w:eastAsia="bg-BG"/>
        </w:rPr>
        <w:t>60</w:t>
      </w:r>
      <w:r w:rsidR="005C0C2F" w:rsidRPr="002C3261">
        <w:rPr>
          <w:rFonts w:ascii="Verdana" w:eastAsia="Μοντέρνα" w:hAnsi="Verdana"/>
          <w:sz w:val="20"/>
          <w:szCs w:val="20"/>
          <w:lang w:eastAsia="bg-BG"/>
        </w:rPr>
        <w:t>.</w:t>
      </w:r>
      <w:r w:rsidR="005C0C2F" w:rsidRPr="002C3261">
        <w:rPr>
          <w:rFonts w:ascii="Verdana" w:eastAsia="Μοντέρνα" w:hAnsi="Verdana"/>
          <w:sz w:val="20"/>
          <w:szCs w:val="20"/>
          <w:lang w:val="en-US" w:eastAsia="bg-BG"/>
        </w:rPr>
        <w:t>1</w:t>
      </w:r>
      <w:r w:rsidRPr="002C3261">
        <w:rPr>
          <w:rFonts w:ascii="Verdana" w:eastAsia="Μοντέρνα" w:hAnsi="Verdana"/>
          <w:sz w:val="20"/>
          <w:szCs w:val="20"/>
          <w:lang w:eastAsia="bg-BG"/>
        </w:rPr>
        <w:t xml:space="preserve"> хил. жилищни с</w:t>
      </w:r>
      <w:r w:rsidR="005C0C2F" w:rsidRPr="002C3261">
        <w:rPr>
          <w:rFonts w:ascii="Verdana" w:eastAsia="Μοντέρνα" w:hAnsi="Verdana"/>
          <w:sz w:val="20"/>
          <w:szCs w:val="20"/>
          <w:lang w:eastAsia="bg-BG"/>
        </w:rPr>
        <w:t>гради. В градовете се намират 2</w:t>
      </w:r>
      <w:r w:rsidR="005C0C2F" w:rsidRPr="002C3261">
        <w:rPr>
          <w:rFonts w:ascii="Verdana" w:eastAsia="Μοντέρνα" w:hAnsi="Verdana"/>
          <w:sz w:val="20"/>
          <w:szCs w:val="20"/>
          <w:lang w:val="en-US" w:eastAsia="bg-BG"/>
        </w:rPr>
        <w:t>4</w:t>
      </w:r>
      <w:r w:rsidRPr="002C3261">
        <w:rPr>
          <w:rFonts w:ascii="Verdana" w:eastAsia="Μοντέρνα" w:hAnsi="Verdana"/>
          <w:sz w:val="20"/>
          <w:szCs w:val="20"/>
          <w:lang w:eastAsia="bg-BG"/>
        </w:rPr>
        <w:t>.</w:t>
      </w:r>
      <w:r w:rsidR="005C0C2F" w:rsidRPr="002C3261">
        <w:rPr>
          <w:rFonts w:ascii="Verdana" w:eastAsia="Μοντέρνα" w:hAnsi="Verdana"/>
          <w:sz w:val="20"/>
          <w:szCs w:val="20"/>
          <w:lang w:val="en-US" w:eastAsia="bg-BG"/>
        </w:rPr>
        <w:t>0</w:t>
      </w:r>
      <w:r w:rsidRPr="002C3261">
        <w:rPr>
          <w:rFonts w:ascii="Verdana" w:eastAsia="Μοντέρνα" w:hAnsi="Verdana"/>
          <w:sz w:val="20"/>
          <w:szCs w:val="20"/>
          <w:lang w:eastAsia="bg-BG"/>
        </w:rPr>
        <w:t xml:space="preserve"> хил. жилищни сгради, а в селата - 36.</w:t>
      </w:r>
      <w:r w:rsidRPr="002C3261">
        <w:rPr>
          <w:rFonts w:ascii="Verdana" w:eastAsia="Μοντέρνα" w:hAnsi="Verdana"/>
          <w:sz w:val="20"/>
          <w:szCs w:val="20"/>
          <w:lang w:val="en-US" w:eastAsia="bg-BG"/>
        </w:rPr>
        <w:t>1</w:t>
      </w:r>
      <w:r w:rsidRPr="002C3261">
        <w:rPr>
          <w:rFonts w:ascii="Verdana" w:eastAsia="Μοντέρνα" w:hAnsi="Verdana"/>
          <w:sz w:val="20"/>
          <w:szCs w:val="20"/>
          <w:lang w:eastAsia="bg-BG"/>
        </w:rPr>
        <w:t xml:space="preserve"> хиляди. Жилищните сгради в областта представляват 2.9% от общия жилищен фонд в страната. </w:t>
      </w:r>
    </w:p>
    <w:p w14:paraId="429064C3" w14:textId="38FF3D8B" w:rsidR="005D6319" w:rsidRDefault="00C928ED" w:rsidP="005D6319">
      <w:pPr>
        <w:spacing w:after="0" w:line="360" w:lineRule="auto"/>
        <w:ind w:right="-1"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2C3261">
        <w:rPr>
          <w:rFonts w:ascii="Verdana" w:eastAsia="Μοντέρνα" w:hAnsi="Verdana"/>
          <w:sz w:val="20"/>
          <w:szCs w:val="20"/>
          <w:lang w:eastAsia="bg-BG"/>
        </w:rPr>
        <w:t xml:space="preserve">Тухлени (с бетонна плоча или с гредоред) са </w:t>
      </w:r>
      <w:r w:rsidRPr="002C3261">
        <w:rPr>
          <w:rFonts w:ascii="Verdana" w:eastAsia="Μοντέρνα" w:hAnsi="Verdana"/>
          <w:sz w:val="20"/>
          <w:szCs w:val="20"/>
          <w:lang w:val="en-US" w:eastAsia="bg-BG"/>
        </w:rPr>
        <w:t>51.</w:t>
      </w:r>
      <w:r w:rsidR="005D6319" w:rsidRPr="002C3261">
        <w:rPr>
          <w:rFonts w:ascii="Verdana" w:eastAsia="Μοντέρνα" w:hAnsi="Verdana"/>
          <w:sz w:val="20"/>
          <w:szCs w:val="20"/>
          <w:lang w:eastAsia="bg-BG"/>
        </w:rPr>
        <w:t xml:space="preserve">5 хил. или </w:t>
      </w:r>
      <w:r w:rsidRPr="002C3261">
        <w:rPr>
          <w:rFonts w:ascii="Verdana" w:eastAsia="Μοντέρνα" w:hAnsi="Verdana"/>
          <w:sz w:val="20"/>
          <w:szCs w:val="20"/>
          <w:lang w:val="en-US" w:eastAsia="bg-BG"/>
        </w:rPr>
        <w:t>85</w:t>
      </w:r>
      <w:r w:rsidR="005D6319" w:rsidRPr="002C3261">
        <w:rPr>
          <w:rFonts w:ascii="Verdana" w:eastAsia="Μοντέρνα" w:hAnsi="Verdana"/>
          <w:sz w:val="20"/>
          <w:szCs w:val="20"/>
          <w:lang w:eastAsia="bg-BG"/>
        </w:rPr>
        <w:t>.</w:t>
      </w:r>
      <w:r w:rsidRPr="002C3261">
        <w:rPr>
          <w:rFonts w:ascii="Verdana" w:eastAsia="Μοντέρνα" w:hAnsi="Verdana"/>
          <w:sz w:val="20"/>
          <w:szCs w:val="20"/>
          <w:lang w:val="en-US" w:eastAsia="bg-BG"/>
        </w:rPr>
        <w:t>7</w:t>
      </w:r>
      <w:r w:rsidR="005D6319" w:rsidRPr="002C3261">
        <w:rPr>
          <w:rFonts w:ascii="Verdana" w:eastAsia="Μοντέρνα" w:hAnsi="Verdana"/>
          <w:sz w:val="20"/>
          <w:szCs w:val="20"/>
          <w:lang w:eastAsia="bg-BG"/>
        </w:rPr>
        <w:t>% от всички жилищни сгради</w:t>
      </w:r>
      <w:r w:rsidRPr="002C3261">
        <w:rPr>
          <w:rFonts w:ascii="Verdana" w:eastAsia="Μοντέρνα" w:hAnsi="Verdana"/>
          <w:sz w:val="20"/>
          <w:szCs w:val="20"/>
          <w:lang w:eastAsia="bg-BG"/>
        </w:rPr>
        <w:t xml:space="preserve">. Следват сградите </w:t>
      </w:r>
      <w:r w:rsidR="005D6319" w:rsidRPr="002C3261">
        <w:rPr>
          <w:rFonts w:ascii="Verdana" w:eastAsia="Μοντέρνα" w:hAnsi="Verdana"/>
          <w:sz w:val="20"/>
          <w:szCs w:val="20"/>
          <w:lang w:eastAsia="bg-BG"/>
        </w:rPr>
        <w:t xml:space="preserve">с „Друга“ конструкция - 6.5 хил. или 10.9%. Стоманобетонните </w:t>
      </w:r>
      <w:r w:rsidR="005C0C2F" w:rsidRPr="002C3261">
        <w:rPr>
          <w:rFonts w:ascii="Verdana" w:eastAsia="Μοντέρνα" w:hAnsi="Verdana"/>
          <w:sz w:val="20"/>
          <w:szCs w:val="20"/>
          <w:lang w:eastAsia="bg-BG"/>
        </w:rPr>
        <w:t>жилищни сгради в областта са</w:t>
      </w:r>
      <w:r w:rsidR="002C3261" w:rsidRPr="002C3261">
        <w:rPr>
          <w:rFonts w:ascii="Verdana" w:eastAsia="Μοντέρνα" w:hAnsi="Verdana"/>
          <w:sz w:val="20"/>
          <w:szCs w:val="20"/>
          <w:lang w:val="en-US" w:eastAsia="bg-BG"/>
        </w:rPr>
        <w:t xml:space="preserve"> 1</w:t>
      </w:r>
      <w:r w:rsidR="00F86FF3">
        <w:rPr>
          <w:rFonts w:ascii="Verdana" w:eastAsia="Μοντέρνα" w:hAnsi="Verdana"/>
          <w:sz w:val="20"/>
          <w:szCs w:val="20"/>
          <w:lang w:val="en-US" w:eastAsia="bg-BG"/>
        </w:rPr>
        <w:t>.</w:t>
      </w:r>
      <w:r w:rsidR="00F86FF3">
        <w:rPr>
          <w:rFonts w:ascii="Verdana" w:eastAsia="Μοντέρνα" w:hAnsi="Verdana"/>
          <w:sz w:val="20"/>
          <w:szCs w:val="20"/>
          <w:lang w:eastAsia="bg-BG"/>
        </w:rPr>
        <w:t>6 хил.</w:t>
      </w:r>
      <w:r w:rsidR="002C3261" w:rsidRPr="002C3261">
        <w:rPr>
          <w:rFonts w:ascii="Verdana" w:eastAsia="Μοντέρνα" w:hAnsi="Verdana"/>
          <w:sz w:val="20"/>
          <w:szCs w:val="20"/>
          <w:lang w:val="en-US" w:eastAsia="bg-BG"/>
        </w:rPr>
        <w:t xml:space="preserve"> (</w:t>
      </w:r>
      <w:r w:rsidR="005C0C2F" w:rsidRPr="002C3261">
        <w:rPr>
          <w:rFonts w:ascii="Verdana" w:eastAsia="Μοντέρνα" w:hAnsi="Verdana"/>
          <w:sz w:val="20"/>
          <w:szCs w:val="20"/>
          <w:lang w:eastAsia="bg-BG"/>
        </w:rPr>
        <w:t>2.</w:t>
      </w:r>
      <w:r w:rsidR="005C0C2F" w:rsidRPr="002C3261">
        <w:rPr>
          <w:rFonts w:ascii="Verdana" w:eastAsia="Μοντέρνα" w:hAnsi="Verdana"/>
          <w:sz w:val="20"/>
          <w:szCs w:val="20"/>
          <w:lang w:val="en-US" w:eastAsia="bg-BG"/>
        </w:rPr>
        <w:t>5</w:t>
      </w:r>
      <w:r w:rsidR="005D6319" w:rsidRPr="002C3261">
        <w:rPr>
          <w:rFonts w:ascii="Verdana" w:eastAsia="Μοντέρνα" w:hAnsi="Verdana"/>
          <w:sz w:val="20"/>
          <w:szCs w:val="20"/>
          <w:lang w:eastAsia="bg-BG"/>
        </w:rPr>
        <w:t>%</w:t>
      </w:r>
      <w:r w:rsidR="002C3261" w:rsidRPr="002C3261">
        <w:rPr>
          <w:rFonts w:ascii="Verdana" w:eastAsia="Μοντέρνα" w:hAnsi="Verdana"/>
          <w:sz w:val="20"/>
          <w:szCs w:val="20"/>
          <w:lang w:val="en-US" w:eastAsia="bg-BG"/>
        </w:rPr>
        <w:t>)</w:t>
      </w:r>
      <w:r w:rsidR="005D6319" w:rsidRPr="002C3261">
        <w:rPr>
          <w:rFonts w:ascii="Verdana" w:eastAsia="Μοντέρνα" w:hAnsi="Verdana"/>
          <w:sz w:val="20"/>
          <w:szCs w:val="20"/>
          <w:lang w:eastAsia="bg-BG"/>
        </w:rPr>
        <w:t xml:space="preserve">, а панелните </w:t>
      </w:r>
      <w:r w:rsidR="00F86FF3">
        <w:rPr>
          <w:rFonts w:ascii="Verdana" w:eastAsia="Μοντέρνα" w:hAnsi="Verdana"/>
          <w:sz w:val="20"/>
          <w:szCs w:val="20"/>
          <w:lang w:eastAsia="bg-BG"/>
        </w:rPr>
        <w:t>-</w:t>
      </w:r>
      <w:r w:rsidR="00F86FF3" w:rsidRPr="002C3261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="00F86FF3">
        <w:rPr>
          <w:rFonts w:ascii="Verdana" w:eastAsia="Μοντέρνα" w:hAnsi="Verdana"/>
          <w:sz w:val="20"/>
          <w:szCs w:val="20"/>
          <w:lang w:eastAsia="bg-BG"/>
        </w:rPr>
        <w:t>0.</w:t>
      </w:r>
      <w:r w:rsidR="002C3261" w:rsidRPr="002C3261">
        <w:rPr>
          <w:rFonts w:ascii="Verdana" w:eastAsia="Μοντέρνα" w:hAnsi="Verdana"/>
          <w:sz w:val="20"/>
          <w:szCs w:val="20"/>
          <w:lang w:val="en-US" w:eastAsia="bg-BG"/>
        </w:rPr>
        <w:t>5</w:t>
      </w:r>
      <w:r w:rsidR="00F86FF3">
        <w:rPr>
          <w:rFonts w:ascii="Verdana" w:eastAsia="Μοντέρνα" w:hAnsi="Verdana"/>
          <w:sz w:val="20"/>
          <w:szCs w:val="20"/>
          <w:lang w:eastAsia="bg-BG"/>
        </w:rPr>
        <w:t xml:space="preserve"> хил.</w:t>
      </w:r>
      <w:r w:rsidR="002C3261" w:rsidRPr="002C3261">
        <w:rPr>
          <w:rFonts w:ascii="Verdana" w:eastAsia="Μοντέρνα" w:hAnsi="Verdana"/>
          <w:sz w:val="20"/>
          <w:szCs w:val="20"/>
          <w:lang w:val="en-US" w:eastAsia="bg-BG"/>
        </w:rPr>
        <w:t xml:space="preserve"> (</w:t>
      </w:r>
      <w:r w:rsidR="005D6319" w:rsidRPr="002C3261">
        <w:rPr>
          <w:rFonts w:ascii="Verdana" w:eastAsia="Μοντέρνα" w:hAnsi="Verdana"/>
          <w:sz w:val="20"/>
          <w:szCs w:val="20"/>
          <w:lang w:eastAsia="bg-BG"/>
        </w:rPr>
        <w:t>0.9%</w:t>
      </w:r>
      <w:r w:rsidR="002C3261" w:rsidRPr="002C3261">
        <w:rPr>
          <w:rFonts w:ascii="Verdana" w:eastAsia="Μοντέρνα" w:hAnsi="Verdana"/>
          <w:sz w:val="20"/>
          <w:szCs w:val="20"/>
          <w:lang w:val="en-US" w:eastAsia="bg-BG"/>
        </w:rPr>
        <w:t>)</w:t>
      </w:r>
      <w:r w:rsidR="005D6319" w:rsidRPr="002C3261">
        <w:rPr>
          <w:rFonts w:ascii="Verdana" w:eastAsia="Μοντέρνα" w:hAnsi="Verdana"/>
          <w:sz w:val="20"/>
          <w:szCs w:val="20"/>
          <w:lang w:eastAsia="bg-BG"/>
        </w:rPr>
        <w:t xml:space="preserve">. </w:t>
      </w:r>
      <w:r w:rsidR="002C3261" w:rsidRPr="002C3261">
        <w:rPr>
          <w:rFonts w:ascii="Verdana" w:eastAsia="Μοντέρνα" w:hAnsi="Verdana"/>
          <w:sz w:val="20"/>
          <w:szCs w:val="20"/>
          <w:lang w:eastAsia="bg-BG"/>
        </w:rPr>
        <w:t>В градовете 5</w:t>
      </w:r>
      <w:r w:rsidR="002C3261" w:rsidRPr="002C3261">
        <w:rPr>
          <w:rFonts w:ascii="Verdana" w:eastAsia="Μοντέρνα" w:hAnsi="Verdana"/>
          <w:sz w:val="20"/>
          <w:szCs w:val="20"/>
          <w:lang w:val="en-US" w:eastAsia="bg-BG"/>
        </w:rPr>
        <w:t>0</w:t>
      </w:r>
      <w:r w:rsidR="002C3261" w:rsidRPr="002C3261">
        <w:rPr>
          <w:rFonts w:ascii="Verdana" w:eastAsia="Μοντέρνα" w:hAnsi="Verdana"/>
          <w:sz w:val="20"/>
          <w:szCs w:val="20"/>
          <w:lang w:eastAsia="bg-BG"/>
        </w:rPr>
        <w:t>.0% са тухлени сгради с бетонна плоча, а 4</w:t>
      </w:r>
      <w:r w:rsidR="002C3261" w:rsidRPr="002C3261">
        <w:rPr>
          <w:rFonts w:ascii="Verdana" w:eastAsia="Μοντέρνα" w:hAnsi="Verdana"/>
          <w:sz w:val="20"/>
          <w:szCs w:val="20"/>
          <w:lang w:val="en-US" w:eastAsia="bg-BG"/>
        </w:rPr>
        <w:t>0</w:t>
      </w:r>
      <w:r w:rsidR="002C3261" w:rsidRPr="002C3261">
        <w:rPr>
          <w:rFonts w:ascii="Verdana" w:eastAsia="Μοντέρνα" w:hAnsi="Verdana"/>
          <w:sz w:val="20"/>
          <w:szCs w:val="20"/>
          <w:lang w:eastAsia="bg-BG"/>
        </w:rPr>
        <w:t>.</w:t>
      </w:r>
      <w:r w:rsidR="002C3261" w:rsidRPr="002C3261">
        <w:rPr>
          <w:rFonts w:ascii="Verdana" w:eastAsia="Μοντέρνα" w:hAnsi="Verdana"/>
          <w:sz w:val="20"/>
          <w:szCs w:val="20"/>
          <w:lang w:val="en-US" w:eastAsia="bg-BG"/>
        </w:rPr>
        <w:t>4</w:t>
      </w:r>
      <w:r w:rsidR="002C3261" w:rsidRPr="002C3261">
        <w:rPr>
          <w:rFonts w:ascii="Verdana" w:eastAsia="Μοντέρνα" w:hAnsi="Verdana"/>
          <w:sz w:val="20"/>
          <w:szCs w:val="20"/>
          <w:lang w:eastAsia="bg-BG"/>
        </w:rPr>
        <w:t>% са тухлени сгради с гредоред.</w:t>
      </w:r>
    </w:p>
    <w:p w14:paraId="3876536C" w14:textId="77777777" w:rsidR="002C3261" w:rsidRPr="002C3261" w:rsidRDefault="002C3261" w:rsidP="002C3261">
      <w:pPr>
        <w:spacing w:after="0" w:line="36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2C3261">
        <w:rPr>
          <w:rFonts w:ascii="Verdana" w:eastAsia="Times New Roman" w:hAnsi="Verdana"/>
          <w:sz w:val="20"/>
          <w:szCs w:val="20"/>
          <w:lang w:eastAsia="bg-BG"/>
        </w:rPr>
        <w:t xml:space="preserve">Най-висок е относителният дял на жилищните сгради, построени в периода 1946 - 1960 г. - </w:t>
      </w:r>
      <w:r w:rsidR="00583908">
        <w:rPr>
          <w:rFonts w:ascii="Verdana" w:eastAsia="Times New Roman" w:hAnsi="Verdana"/>
          <w:sz w:val="20"/>
          <w:szCs w:val="20"/>
          <w:lang w:val="en-US" w:eastAsia="bg-BG"/>
        </w:rPr>
        <w:t>33</w:t>
      </w:r>
      <w:r w:rsidR="00583908">
        <w:rPr>
          <w:rFonts w:ascii="Verdana" w:eastAsia="Times New Roman" w:hAnsi="Verdana"/>
          <w:sz w:val="20"/>
          <w:szCs w:val="20"/>
          <w:lang w:eastAsia="bg-BG"/>
        </w:rPr>
        <w:t>.</w:t>
      </w:r>
      <w:r w:rsidR="00583908">
        <w:rPr>
          <w:rFonts w:ascii="Verdana" w:eastAsia="Times New Roman" w:hAnsi="Verdana"/>
          <w:sz w:val="20"/>
          <w:szCs w:val="20"/>
          <w:lang w:val="en-US" w:eastAsia="bg-BG"/>
        </w:rPr>
        <w:t>3</w:t>
      </w:r>
      <w:r w:rsidRPr="002C3261">
        <w:rPr>
          <w:rFonts w:ascii="Verdana" w:eastAsia="Times New Roman" w:hAnsi="Verdana"/>
          <w:sz w:val="20"/>
          <w:szCs w:val="20"/>
          <w:lang w:eastAsia="bg-BG"/>
        </w:rPr>
        <w:t>%, следват построените сгради в периода 1961 - 1970 г. - 2</w:t>
      </w:r>
      <w:r w:rsidR="00583908">
        <w:rPr>
          <w:rFonts w:ascii="Verdana" w:eastAsia="Times New Roman" w:hAnsi="Verdana"/>
          <w:sz w:val="20"/>
          <w:szCs w:val="20"/>
          <w:lang w:val="en-US" w:eastAsia="bg-BG"/>
        </w:rPr>
        <w:t>3</w:t>
      </w:r>
      <w:r w:rsidRPr="002C3261">
        <w:rPr>
          <w:rFonts w:ascii="Verdana" w:eastAsia="Times New Roman" w:hAnsi="Verdana"/>
          <w:sz w:val="20"/>
          <w:szCs w:val="20"/>
          <w:lang w:eastAsia="bg-BG"/>
        </w:rPr>
        <w:t>.</w:t>
      </w:r>
      <w:r w:rsidR="00583908">
        <w:rPr>
          <w:rFonts w:ascii="Verdana" w:eastAsia="Times New Roman" w:hAnsi="Verdana"/>
          <w:sz w:val="20"/>
          <w:szCs w:val="20"/>
          <w:lang w:val="en-US" w:eastAsia="bg-BG"/>
        </w:rPr>
        <w:t>2</w:t>
      </w:r>
      <w:r w:rsidRPr="002C3261">
        <w:rPr>
          <w:rFonts w:ascii="Verdana" w:eastAsia="Times New Roman" w:hAnsi="Verdana"/>
          <w:sz w:val="20"/>
          <w:szCs w:val="20"/>
          <w:lang w:eastAsia="bg-BG"/>
        </w:rPr>
        <w:t>% (виж табл. 1).</w:t>
      </w:r>
    </w:p>
    <w:p w14:paraId="5928D0AE" w14:textId="69D348B6" w:rsidR="002C3261" w:rsidRPr="002C3261" w:rsidRDefault="002C3261" w:rsidP="008D4876">
      <w:pPr>
        <w:spacing w:before="160" w:line="36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2C3261">
        <w:rPr>
          <w:rFonts w:ascii="Verdana" w:eastAsia="Times New Roman" w:hAnsi="Verdana"/>
          <w:b/>
          <w:sz w:val="20"/>
          <w:szCs w:val="20"/>
          <w:lang w:eastAsia="bg-BG"/>
        </w:rPr>
        <w:t xml:space="preserve">Таблица 1. Жилищни сгради в област </w:t>
      </w:r>
      <w:r w:rsidR="00583908" w:rsidRPr="00583908">
        <w:rPr>
          <w:rFonts w:ascii="Verdana" w:eastAsia="Times New Roman" w:hAnsi="Verdana"/>
          <w:b/>
          <w:sz w:val="20"/>
          <w:szCs w:val="20"/>
          <w:lang w:eastAsia="bg-BG"/>
        </w:rPr>
        <w:t>Добрич</w:t>
      </w:r>
      <w:r w:rsidRPr="002C3261">
        <w:rPr>
          <w:rFonts w:ascii="Verdana" w:eastAsia="Times New Roman" w:hAnsi="Verdana"/>
          <w:b/>
          <w:sz w:val="20"/>
          <w:szCs w:val="20"/>
          <w:lang w:eastAsia="bg-BG"/>
        </w:rPr>
        <w:t xml:space="preserve"> към 31.12.202</w:t>
      </w:r>
      <w:r w:rsidRPr="002C3261">
        <w:rPr>
          <w:rFonts w:ascii="Verdana" w:eastAsia="Times New Roman" w:hAnsi="Verdana"/>
          <w:b/>
          <w:sz w:val="20"/>
          <w:szCs w:val="20"/>
          <w:lang w:val="en-US" w:eastAsia="bg-BG"/>
        </w:rPr>
        <w:t>4</w:t>
      </w:r>
      <w:r w:rsidRPr="002C3261">
        <w:rPr>
          <w:rFonts w:ascii="Verdana" w:eastAsia="Times New Roman" w:hAnsi="Verdana"/>
          <w:b/>
          <w:sz w:val="20"/>
          <w:szCs w:val="20"/>
          <w:lang w:eastAsia="bg-BG"/>
        </w:rPr>
        <w:t xml:space="preserve"> г. по периоди на построяване</w:t>
      </w:r>
    </w:p>
    <w:tbl>
      <w:tblPr>
        <w:tblW w:w="98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02"/>
        <w:gridCol w:w="801"/>
        <w:gridCol w:w="801"/>
        <w:gridCol w:w="801"/>
        <w:gridCol w:w="801"/>
        <w:gridCol w:w="801"/>
        <w:gridCol w:w="801"/>
        <w:gridCol w:w="801"/>
        <w:gridCol w:w="801"/>
        <w:gridCol w:w="1113"/>
      </w:tblGrid>
      <w:tr w:rsidR="00583908" w:rsidRPr="002C3261" w14:paraId="7EA4F36E" w14:textId="77777777" w:rsidTr="00583908">
        <w:trPr>
          <w:trHeight w:val="63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B5397" w14:textId="7BA45163" w:rsidR="002C3261" w:rsidRPr="002C3261" w:rsidRDefault="002C3261" w:rsidP="002C326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C326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 xml:space="preserve">Област </w:t>
            </w:r>
            <w:r w:rsidR="00583908" w:rsidRPr="00583908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Добрич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2A8E3" w14:textId="77777777" w:rsidR="002C3261" w:rsidRPr="002C3261" w:rsidRDefault="002C3261" w:rsidP="002C326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C326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 xml:space="preserve">до </w:t>
            </w:r>
            <w:r w:rsidR="00583908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 w:eastAsia="bg-BG"/>
              </w:rPr>
              <w:t xml:space="preserve">   </w:t>
            </w:r>
            <w:r w:rsidRPr="002C326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1918 г.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5EEEC" w14:textId="77777777" w:rsidR="002C3261" w:rsidRPr="002C3261" w:rsidRDefault="002C3261" w:rsidP="002C326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C326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1919 - 1945 г.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BA122" w14:textId="77777777" w:rsidR="002C3261" w:rsidRPr="002C3261" w:rsidRDefault="002C3261" w:rsidP="002C326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C326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1946 - 1960 г.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1878B" w14:textId="77777777" w:rsidR="002C3261" w:rsidRPr="002C3261" w:rsidRDefault="002C3261" w:rsidP="002C326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C326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1961 - 1970 г.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9B271" w14:textId="77777777" w:rsidR="002C3261" w:rsidRPr="002C3261" w:rsidRDefault="002C3261" w:rsidP="002C326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C326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1971 - 1980 г.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F75D0" w14:textId="77777777" w:rsidR="002C3261" w:rsidRPr="002C3261" w:rsidRDefault="002C3261" w:rsidP="002C326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C326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1981 - 1990 г.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78175" w14:textId="77777777" w:rsidR="002C3261" w:rsidRPr="002C3261" w:rsidRDefault="002C3261" w:rsidP="002C326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C326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1991 - 2000 г.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E37A0" w14:textId="77777777" w:rsidR="002C3261" w:rsidRPr="002C3261" w:rsidRDefault="002C3261" w:rsidP="002C326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C326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2001 - 2010 г.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8D1F7" w14:textId="77777777" w:rsidR="002C3261" w:rsidRPr="002C3261" w:rsidRDefault="002C3261" w:rsidP="002C326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C326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2011 - 2020 г.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BA63C" w14:textId="77777777" w:rsidR="002C3261" w:rsidRPr="002C3261" w:rsidRDefault="002C3261" w:rsidP="002C326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C326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от началото на 2021 г.</w:t>
            </w:r>
          </w:p>
        </w:tc>
      </w:tr>
      <w:tr w:rsidR="00583908" w:rsidRPr="002C3261" w14:paraId="35EE11B3" w14:textId="77777777" w:rsidTr="00583908">
        <w:trPr>
          <w:trHeight w:val="426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C68A" w14:textId="77777777" w:rsidR="00583908" w:rsidRPr="002C3261" w:rsidRDefault="00583908" w:rsidP="0058390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C326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Жилищни сгради - брой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C4E1C" w14:textId="77777777" w:rsidR="00583908" w:rsidRPr="00583908" w:rsidRDefault="00583908" w:rsidP="00583908">
            <w:pPr>
              <w:spacing w:after="0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D67EE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3219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8F48B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20038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6597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13922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83DAE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7502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FE4D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5519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28B63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3917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A56BD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3358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E8193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DDA57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327</w:t>
            </w:r>
          </w:p>
        </w:tc>
      </w:tr>
      <w:tr w:rsidR="00583908" w:rsidRPr="002C3261" w14:paraId="79C03387" w14:textId="77777777" w:rsidTr="00583908">
        <w:trPr>
          <w:trHeight w:val="44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9CE8E" w14:textId="77777777" w:rsidR="00583908" w:rsidRPr="002C3261" w:rsidRDefault="00583908" w:rsidP="0058390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C326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Относителен дял - 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DEDA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0CB0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9E52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763A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38A8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579B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8F3B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8D92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EA4A" w14:textId="32E8D22B" w:rsidR="00583908" w:rsidRPr="00583908" w:rsidRDefault="00583908" w:rsidP="00F86FF3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3.</w:t>
            </w:r>
            <w:r w:rsidR="00F86FF3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E0F7" w14:textId="77777777" w:rsidR="00583908" w:rsidRPr="00583908" w:rsidRDefault="00583908" w:rsidP="00583908">
            <w:pPr>
              <w:spacing w:after="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83908">
              <w:rPr>
                <w:rFonts w:ascii="Verdana" w:hAnsi="Verdana" w:cs="Calibri"/>
                <w:color w:val="000000"/>
                <w:sz w:val="16"/>
                <w:szCs w:val="16"/>
              </w:rPr>
              <w:t>0.5</w:t>
            </w:r>
          </w:p>
        </w:tc>
      </w:tr>
    </w:tbl>
    <w:p w14:paraId="5D85AD0A" w14:textId="3B75A973" w:rsidR="005D6319" w:rsidRPr="007806C5" w:rsidRDefault="005D6319" w:rsidP="00CF23A2">
      <w:pPr>
        <w:spacing w:before="160" w:after="0" w:line="360" w:lineRule="auto"/>
        <w:ind w:right="-1"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583908">
        <w:rPr>
          <w:rFonts w:ascii="Verdana" w:eastAsia="Μοντέρνα" w:hAnsi="Verdana"/>
          <w:sz w:val="20"/>
          <w:szCs w:val="20"/>
          <w:lang w:eastAsia="bg-BG"/>
        </w:rPr>
        <w:t>Към 31.12.202</w:t>
      </w:r>
      <w:r w:rsidR="005C0C2F" w:rsidRPr="00583908">
        <w:rPr>
          <w:rFonts w:ascii="Verdana" w:eastAsia="Μοντέρνα" w:hAnsi="Verdana"/>
          <w:sz w:val="20"/>
          <w:szCs w:val="20"/>
          <w:lang w:val="en-US" w:eastAsia="bg-BG"/>
        </w:rPr>
        <w:t>4</w:t>
      </w:r>
      <w:r w:rsidRPr="00583908">
        <w:rPr>
          <w:rFonts w:ascii="Verdana" w:eastAsia="Μοντέρνα" w:hAnsi="Verdana"/>
          <w:sz w:val="20"/>
          <w:szCs w:val="20"/>
          <w:lang w:eastAsia="bg-BG"/>
        </w:rPr>
        <w:t xml:space="preserve"> г. в област Добрич преобладават едноетажните жилищни сгради - 48.</w:t>
      </w:r>
      <w:r w:rsidRPr="00583908">
        <w:rPr>
          <w:rFonts w:ascii="Verdana" w:eastAsia="Μοντέρνα" w:hAnsi="Verdana"/>
          <w:sz w:val="20"/>
          <w:szCs w:val="20"/>
          <w:lang w:val="en-US" w:eastAsia="bg-BG"/>
        </w:rPr>
        <w:t>7</w:t>
      </w:r>
      <w:r w:rsidRPr="00583908">
        <w:rPr>
          <w:rFonts w:ascii="Verdana" w:eastAsia="Μοντέρνα" w:hAnsi="Verdana"/>
          <w:sz w:val="20"/>
          <w:szCs w:val="20"/>
          <w:lang w:eastAsia="bg-BG"/>
        </w:rPr>
        <w:t xml:space="preserve"> хил. или 81.</w:t>
      </w:r>
      <w:r w:rsidR="005C0C2F" w:rsidRPr="00583908">
        <w:rPr>
          <w:rFonts w:ascii="Verdana" w:eastAsia="Μοντέρνα" w:hAnsi="Verdana"/>
          <w:sz w:val="20"/>
          <w:szCs w:val="20"/>
          <w:lang w:val="en-US" w:eastAsia="bg-BG"/>
        </w:rPr>
        <w:t>0</w:t>
      </w:r>
      <w:r w:rsidRPr="00583908">
        <w:rPr>
          <w:rFonts w:ascii="Verdana" w:eastAsia="Μοντέρνα" w:hAnsi="Verdana"/>
          <w:sz w:val="20"/>
          <w:szCs w:val="20"/>
          <w:lang w:eastAsia="bg-BG"/>
        </w:rPr>
        <w:t>% от всички сгради в област</w:t>
      </w:r>
      <w:r w:rsidR="005C0C2F" w:rsidRPr="00583908">
        <w:rPr>
          <w:rFonts w:ascii="Verdana" w:eastAsia="Μοντέρνα" w:hAnsi="Verdana"/>
          <w:sz w:val="20"/>
          <w:szCs w:val="20"/>
          <w:lang w:eastAsia="bg-BG"/>
        </w:rPr>
        <w:t>та. Сградите на два етажа са 8.</w:t>
      </w:r>
      <w:r w:rsidR="005C0C2F" w:rsidRPr="00583908">
        <w:rPr>
          <w:rFonts w:ascii="Verdana" w:eastAsia="Μοντέρνα" w:hAnsi="Verdana"/>
          <w:sz w:val="20"/>
          <w:szCs w:val="20"/>
          <w:lang w:val="en-US" w:eastAsia="bg-BG"/>
        </w:rPr>
        <w:t>9</w:t>
      </w:r>
      <w:r w:rsidR="005C0C2F" w:rsidRPr="00583908">
        <w:rPr>
          <w:rFonts w:ascii="Verdana" w:eastAsia="Μοντέρνα" w:hAnsi="Verdana"/>
          <w:sz w:val="20"/>
          <w:szCs w:val="20"/>
          <w:lang w:eastAsia="bg-BG"/>
        </w:rPr>
        <w:t xml:space="preserve"> хил. (14.</w:t>
      </w:r>
      <w:r w:rsidR="005C0C2F" w:rsidRPr="00583908">
        <w:rPr>
          <w:rFonts w:ascii="Verdana" w:eastAsia="Μοντέρνα" w:hAnsi="Verdana"/>
          <w:sz w:val="20"/>
          <w:szCs w:val="20"/>
          <w:lang w:val="en-US" w:eastAsia="bg-BG"/>
        </w:rPr>
        <w:t>8</w:t>
      </w:r>
      <w:r w:rsidRPr="00583908">
        <w:rPr>
          <w:rFonts w:ascii="Verdana" w:eastAsia="Μοντέρνα" w:hAnsi="Verdana"/>
          <w:sz w:val="20"/>
          <w:szCs w:val="20"/>
          <w:lang w:eastAsia="bg-BG"/>
        </w:rPr>
        <w:t>%), триетажните са 1.4 хил. (2.3%), а жилищните сгради на четири и повече етажа са 1</w:t>
      </w:r>
      <w:r w:rsidR="00F86FF3">
        <w:rPr>
          <w:rFonts w:ascii="Verdana" w:eastAsia="Μοντέρνα" w:hAnsi="Verdana"/>
          <w:sz w:val="20"/>
          <w:szCs w:val="20"/>
          <w:lang w:eastAsia="bg-BG"/>
        </w:rPr>
        <w:t>.1 хил.</w:t>
      </w:r>
      <w:r w:rsidR="00583908" w:rsidRPr="00583908">
        <w:rPr>
          <w:rFonts w:ascii="Verdana" w:eastAsia="Μοντέρνα" w:hAnsi="Verdana"/>
          <w:sz w:val="20"/>
          <w:szCs w:val="20"/>
          <w:lang w:eastAsia="bg-BG"/>
        </w:rPr>
        <w:t> </w:t>
      </w:r>
      <w:r w:rsidR="00583908" w:rsidRPr="00583908">
        <w:rPr>
          <w:rFonts w:ascii="Verdana" w:eastAsia="Μοντέρνα" w:hAnsi="Verdana"/>
          <w:sz w:val="20"/>
          <w:szCs w:val="20"/>
          <w:lang w:val="en-US" w:eastAsia="bg-BG"/>
        </w:rPr>
        <w:t>(1.9%)</w:t>
      </w:r>
      <w:r w:rsidRPr="00583908">
        <w:rPr>
          <w:rFonts w:ascii="Verdana" w:eastAsia="Μοντέρνα" w:hAnsi="Verdana"/>
          <w:sz w:val="20"/>
          <w:szCs w:val="20"/>
          <w:lang w:eastAsia="bg-BG"/>
        </w:rPr>
        <w:t>.</w:t>
      </w:r>
      <w:r w:rsidRPr="007806C5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</w:p>
    <w:p w14:paraId="6C4C4128" w14:textId="77777777" w:rsidR="00D17155" w:rsidRPr="007806C5" w:rsidRDefault="005D6319" w:rsidP="00D17155">
      <w:pPr>
        <w:spacing w:after="0" w:line="360" w:lineRule="auto"/>
        <w:ind w:right="-1"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4D7226">
        <w:rPr>
          <w:rFonts w:ascii="Verdana" w:eastAsia="Μοντέρνα" w:hAnsi="Verdana"/>
          <w:sz w:val="20"/>
          <w:szCs w:val="20"/>
          <w:lang w:eastAsia="bg-BG"/>
        </w:rPr>
        <w:t>Към 31.12.202</w:t>
      </w:r>
      <w:r w:rsidR="00532029" w:rsidRPr="004D7226">
        <w:rPr>
          <w:rFonts w:ascii="Verdana" w:eastAsia="Μοντέρνα" w:hAnsi="Verdana"/>
          <w:sz w:val="20"/>
          <w:szCs w:val="20"/>
          <w:lang w:val="en-US" w:eastAsia="bg-BG"/>
        </w:rPr>
        <w:t>4</w:t>
      </w:r>
      <w:r w:rsidRPr="004D7226">
        <w:rPr>
          <w:rFonts w:ascii="Verdana" w:eastAsia="Μοντέρνα" w:hAnsi="Verdana"/>
          <w:sz w:val="20"/>
          <w:szCs w:val="20"/>
          <w:lang w:eastAsia="bg-BG"/>
        </w:rPr>
        <w:t xml:space="preserve"> г.</w:t>
      </w:r>
      <w:r w:rsidR="00532029" w:rsidRPr="004D7226">
        <w:rPr>
          <w:rFonts w:ascii="Verdana" w:eastAsia="Μοντέρνα" w:hAnsi="Verdana"/>
          <w:sz w:val="20"/>
          <w:szCs w:val="20"/>
          <w:lang w:eastAsia="bg-BG"/>
        </w:rPr>
        <w:t xml:space="preserve"> жилищата в област Добрич са 10</w:t>
      </w:r>
      <w:r w:rsidR="00532029" w:rsidRPr="004D7226">
        <w:rPr>
          <w:rFonts w:ascii="Verdana" w:eastAsia="Μοντέρνα" w:hAnsi="Verdana"/>
          <w:sz w:val="20"/>
          <w:szCs w:val="20"/>
          <w:lang w:val="en-US" w:eastAsia="bg-BG"/>
        </w:rPr>
        <w:t>4</w:t>
      </w:r>
      <w:r w:rsidRPr="004D7226">
        <w:rPr>
          <w:rFonts w:ascii="Verdana" w:eastAsia="Μοντέρνα" w:hAnsi="Verdana"/>
          <w:sz w:val="20"/>
          <w:szCs w:val="20"/>
          <w:lang w:eastAsia="bg-BG"/>
        </w:rPr>
        <w:t>.</w:t>
      </w:r>
      <w:r w:rsidR="00532029" w:rsidRPr="004D7226">
        <w:rPr>
          <w:rFonts w:ascii="Verdana" w:eastAsia="Μοντέρνα" w:hAnsi="Verdana"/>
          <w:sz w:val="20"/>
          <w:szCs w:val="20"/>
          <w:lang w:val="en-US" w:eastAsia="bg-BG"/>
        </w:rPr>
        <w:t>1</w:t>
      </w:r>
      <w:r w:rsidRPr="004D7226">
        <w:rPr>
          <w:rFonts w:ascii="Verdana" w:eastAsia="Μοντέρνα" w:hAnsi="Verdana"/>
          <w:sz w:val="20"/>
          <w:szCs w:val="20"/>
          <w:lang w:eastAsia="bg-BG"/>
        </w:rPr>
        <w:t xml:space="preserve"> хил</w:t>
      </w:r>
      <w:r w:rsidR="00132728">
        <w:rPr>
          <w:rFonts w:ascii="Verdana" w:eastAsia="Μοντέρνα" w:hAnsi="Verdana"/>
          <w:sz w:val="20"/>
          <w:szCs w:val="20"/>
          <w:lang w:eastAsia="bg-BG"/>
        </w:rPr>
        <w:t>яди</w:t>
      </w:r>
      <w:r w:rsidRPr="004D7226">
        <w:rPr>
          <w:rFonts w:ascii="Verdana" w:eastAsia="Μοντέρνα" w:hAnsi="Verdana"/>
          <w:sz w:val="20"/>
          <w:szCs w:val="20"/>
          <w:lang w:eastAsia="bg-BG"/>
        </w:rPr>
        <w:t xml:space="preserve">. </w:t>
      </w:r>
      <w:r w:rsidR="00D17155" w:rsidRPr="004D7226">
        <w:rPr>
          <w:rFonts w:ascii="Verdana" w:eastAsia="Μοντέρνα" w:hAnsi="Verdana"/>
          <w:sz w:val="20"/>
          <w:szCs w:val="20"/>
          <w:lang w:eastAsia="bg-BG"/>
        </w:rPr>
        <w:t>Жилищата в градовете на област Добрич са 6</w:t>
      </w:r>
      <w:r w:rsidR="00D17155" w:rsidRPr="004D7226">
        <w:rPr>
          <w:rFonts w:ascii="Verdana" w:eastAsia="Μοντέρνα" w:hAnsi="Verdana"/>
          <w:sz w:val="20"/>
          <w:szCs w:val="20"/>
          <w:lang w:val="en-US" w:eastAsia="bg-BG"/>
        </w:rPr>
        <w:t>4</w:t>
      </w:r>
      <w:r w:rsidR="00D17155" w:rsidRPr="004D7226">
        <w:rPr>
          <w:rFonts w:ascii="Verdana" w:eastAsia="Μοντέρνα" w:hAnsi="Verdana"/>
          <w:sz w:val="20"/>
          <w:szCs w:val="20"/>
          <w:lang w:eastAsia="bg-BG"/>
        </w:rPr>
        <w:t>.</w:t>
      </w:r>
      <w:r w:rsidR="00D17155" w:rsidRPr="004D7226">
        <w:rPr>
          <w:rFonts w:ascii="Verdana" w:eastAsia="Μοντέρνα" w:hAnsi="Verdana"/>
          <w:sz w:val="20"/>
          <w:szCs w:val="20"/>
          <w:lang w:val="en-US" w:eastAsia="bg-BG"/>
        </w:rPr>
        <w:t>3</w:t>
      </w:r>
      <w:r w:rsidR="00D17155" w:rsidRPr="004D7226">
        <w:rPr>
          <w:rFonts w:ascii="Verdana" w:eastAsia="Μοντέρνα" w:hAnsi="Verdana"/>
          <w:sz w:val="20"/>
          <w:szCs w:val="20"/>
          <w:lang w:eastAsia="bg-BG"/>
        </w:rPr>
        <w:t xml:space="preserve"> хил. (61.7%), а в селата - 39.</w:t>
      </w:r>
      <w:r w:rsidR="00D17155" w:rsidRPr="004D7226">
        <w:rPr>
          <w:rFonts w:ascii="Verdana" w:eastAsia="Μοντέρνα" w:hAnsi="Verdana"/>
          <w:sz w:val="20"/>
          <w:szCs w:val="20"/>
          <w:lang w:val="en-US" w:eastAsia="bg-BG"/>
        </w:rPr>
        <w:t>8</w:t>
      </w:r>
      <w:r w:rsidR="00D17155" w:rsidRPr="004D7226">
        <w:rPr>
          <w:rFonts w:ascii="Verdana" w:eastAsia="Μοντέρνα" w:hAnsi="Verdana"/>
          <w:sz w:val="20"/>
          <w:szCs w:val="20"/>
          <w:lang w:eastAsia="bg-BG"/>
        </w:rPr>
        <w:t xml:space="preserve"> хил. (38.3%).</w:t>
      </w:r>
      <w:r w:rsidR="00D17155" w:rsidRPr="007806C5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</w:p>
    <w:p w14:paraId="446C8448" w14:textId="069E6CDE" w:rsidR="00CF23A2" w:rsidRDefault="00D17155" w:rsidP="00D17155">
      <w:pPr>
        <w:spacing w:after="0" w:line="360" w:lineRule="auto"/>
        <w:ind w:right="-1"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306486">
        <w:rPr>
          <w:rFonts w:ascii="Verdana" w:eastAsia="Μοντέρνα" w:hAnsi="Verdana"/>
          <w:sz w:val="20"/>
          <w:szCs w:val="20"/>
          <w:lang w:eastAsia="bg-BG"/>
        </w:rPr>
        <w:t>Към 31.12.202</w:t>
      </w:r>
      <w:r w:rsidRPr="00306486">
        <w:rPr>
          <w:rFonts w:ascii="Verdana" w:eastAsia="Μοντέρνα" w:hAnsi="Verdana"/>
          <w:sz w:val="20"/>
          <w:szCs w:val="20"/>
          <w:lang w:val="en-US" w:eastAsia="bg-BG"/>
        </w:rPr>
        <w:t>4</w:t>
      </w:r>
      <w:r w:rsidRPr="00306486">
        <w:rPr>
          <w:rFonts w:ascii="Verdana" w:eastAsia="Μοντέρνα" w:hAnsi="Verdana"/>
          <w:sz w:val="20"/>
          <w:szCs w:val="20"/>
          <w:lang w:eastAsia="bg-BG"/>
        </w:rPr>
        <w:t xml:space="preserve"> г. </w:t>
      </w:r>
      <w:r w:rsidR="004D7226" w:rsidRPr="00306486">
        <w:rPr>
          <w:rFonts w:ascii="Verdana" w:eastAsia="Μοντέρνα" w:hAnsi="Verdana"/>
          <w:sz w:val="20"/>
          <w:szCs w:val="20"/>
          <w:lang w:eastAsia="bg-BG"/>
        </w:rPr>
        <w:t>общата полезна</w:t>
      </w:r>
      <w:r w:rsidRPr="00306486">
        <w:rPr>
          <w:rFonts w:ascii="Verdana" w:eastAsia="Μοντέρνα" w:hAnsi="Verdana"/>
          <w:sz w:val="20"/>
          <w:szCs w:val="20"/>
          <w:lang w:eastAsia="bg-BG"/>
        </w:rPr>
        <w:t xml:space="preserve"> площ на жилищата в област Добрич е 8 </w:t>
      </w:r>
      <w:r w:rsidR="004D7226" w:rsidRPr="00306486">
        <w:rPr>
          <w:rFonts w:ascii="Verdana" w:eastAsia="Μοντέρνα" w:hAnsi="Verdana"/>
          <w:sz w:val="20"/>
          <w:szCs w:val="20"/>
          <w:lang w:eastAsia="bg-BG"/>
        </w:rPr>
        <w:t>390</w:t>
      </w:r>
      <w:r w:rsidRPr="00306486">
        <w:rPr>
          <w:rFonts w:ascii="Verdana" w:eastAsia="Μοντέρνα" w:hAnsi="Verdana"/>
          <w:sz w:val="20"/>
          <w:szCs w:val="20"/>
          <w:lang w:eastAsia="bg-BG"/>
        </w:rPr>
        <w:t>.</w:t>
      </w:r>
      <w:r w:rsidRPr="00306486">
        <w:rPr>
          <w:rFonts w:ascii="Verdana" w:eastAsia="Μοντέρνα" w:hAnsi="Verdana"/>
          <w:sz w:val="20"/>
          <w:szCs w:val="20"/>
          <w:lang w:val="en-US" w:eastAsia="bg-BG"/>
        </w:rPr>
        <w:t>3</w:t>
      </w:r>
      <w:r w:rsidRPr="00306486">
        <w:rPr>
          <w:rFonts w:ascii="Verdana" w:eastAsia="Μοντέρνα" w:hAnsi="Verdana"/>
          <w:sz w:val="20"/>
          <w:szCs w:val="20"/>
          <w:lang w:eastAsia="bg-BG"/>
        </w:rPr>
        <w:t xml:space="preserve"> хил. кв.</w:t>
      </w:r>
      <w:r w:rsidR="00306486" w:rsidRPr="00306486">
        <w:rPr>
          <w:rFonts w:ascii="Verdana" w:eastAsia="Μοντέρνα" w:hAnsi="Verdana"/>
          <w:sz w:val="20"/>
          <w:szCs w:val="20"/>
          <w:lang w:val="en-US" w:eastAsia="bg-BG"/>
        </w:rPr>
        <w:t xml:space="preserve"> </w:t>
      </w:r>
      <w:r w:rsidR="00306486" w:rsidRPr="00306486">
        <w:rPr>
          <w:rFonts w:ascii="Verdana" w:eastAsia="Μοντέρνα" w:hAnsi="Verdana"/>
          <w:sz w:val="20"/>
          <w:szCs w:val="20"/>
          <w:lang w:eastAsia="bg-BG"/>
        </w:rPr>
        <w:t>м</w:t>
      </w:r>
      <w:r w:rsidRPr="00306486">
        <w:rPr>
          <w:rFonts w:ascii="Verdana" w:eastAsia="Μοντέρνα" w:hAnsi="Verdana"/>
          <w:sz w:val="20"/>
          <w:szCs w:val="20"/>
          <w:lang w:eastAsia="bg-BG"/>
        </w:rPr>
        <w:t>, жилищната площ е 6 4</w:t>
      </w:r>
      <w:r w:rsidRPr="00306486">
        <w:rPr>
          <w:rFonts w:ascii="Verdana" w:eastAsia="Μοντέρνα" w:hAnsi="Verdana"/>
          <w:sz w:val="20"/>
          <w:szCs w:val="20"/>
          <w:lang w:val="en-US" w:eastAsia="bg-BG"/>
        </w:rPr>
        <w:t>90</w:t>
      </w:r>
      <w:r w:rsidRPr="00306486">
        <w:rPr>
          <w:rFonts w:ascii="Verdana" w:eastAsia="Μοντέρνα" w:hAnsi="Verdana"/>
          <w:sz w:val="20"/>
          <w:szCs w:val="20"/>
          <w:lang w:eastAsia="bg-BG"/>
        </w:rPr>
        <w:t>.</w:t>
      </w:r>
      <w:r w:rsidRPr="00306486">
        <w:rPr>
          <w:rFonts w:ascii="Verdana" w:eastAsia="Μοντέρνα" w:hAnsi="Verdana"/>
          <w:sz w:val="20"/>
          <w:szCs w:val="20"/>
          <w:lang w:val="en-US" w:eastAsia="bg-BG"/>
        </w:rPr>
        <w:t>3</w:t>
      </w:r>
      <w:r w:rsidR="00306486" w:rsidRPr="00306486">
        <w:rPr>
          <w:rFonts w:ascii="Verdana" w:eastAsia="Μοντέρνα" w:hAnsi="Verdana"/>
          <w:sz w:val="20"/>
          <w:szCs w:val="20"/>
          <w:lang w:eastAsia="bg-BG"/>
        </w:rPr>
        <w:t xml:space="preserve"> хил. кв. м</w:t>
      </w:r>
      <w:r w:rsidRPr="00306486">
        <w:rPr>
          <w:rFonts w:ascii="Verdana" w:eastAsia="Μοντέρνα" w:hAnsi="Verdana"/>
          <w:sz w:val="20"/>
          <w:szCs w:val="20"/>
          <w:lang w:eastAsia="bg-BG"/>
        </w:rPr>
        <w:t xml:space="preserve">, а спомагателната площ </w:t>
      </w:r>
      <w:r w:rsidR="00F86FF3">
        <w:rPr>
          <w:rFonts w:ascii="Verdana" w:eastAsia="Μοντέρνα" w:hAnsi="Verdana"/>
          <w:sz w:val="20"/>
          <w:szCs w:val="20"/>
          <w:lang w:eastAsia="bg-BG"/>
        </w:rPr>
        <w:t>-</w:t>
      </w:r>
      <w:r w:rsidR="00F86FF3" w:rsidRPr="00306486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06486">
        <w:rPr>
          <w:rFonts w:ascii="Verdana" w:eastAsia="Μοντέρνα" w:hAnsi="Verdana"/>
          <w:sz w:val="20"/>
          <w:szCs w:val="20"/>
          <w:lang w:eastAsia="bg-BG"/>
        </w:rPr>
        <w:t>1</w:t>
      </w:r>
      <w:r w:rsidR="00F86FF3">
        <w:rPr>
          <w:rFonts w:ascii="Verdana" w:eastAsia="Μοντέρνα" w:hAnsi="Verdana"/>
          <w:sz w:val="20"/>
          <w:szCs w:val="20"/>
          <w:lang w:eastAsia="bg-BG"/>
        </w:rPr>
        <w:t> 900</w:t>
      </w:r>
      <w:r w:rsidRPr="00306486">
        <w:rPr>
          <w:rFonts w:ascii="Verdana" w:eastAsia="Μοντέρνα" w:hAnsi="Verdana"/>
          <w:sz w:val="20"/>
          <w:szCs w:val="20"/>
          <w:lang w:eastAsia="bg-BG"/>
        </w:rPr>
        <w:t>.</w:t>
      </w:r>
      <w:r w:rsidR="00F86FF3">
        <w:rPr>
          <w:rFonts w:ascii="Verdana" w:eastAsia="Μοντέρνα" w:hAnsi="Verdana"/>
          <w:sz w:val="20"/>
          <w:szCs w:val="20"/>
          <w:lang w:eastAsia="bg-BG"/>
        </w:rPr>
        <w:t>0</w:t>
      </w:r>
      <w:r w:rsidRPr="00306486">
        <w:rPr>
          <w:rFonts w:ascii="Verdana" w:eastAsia="Μοντέρνα" w:hAnsi="Verdana"/>
          <w:sz w:val="20"/>
          <w:szCs w:val="20"/>
          <w:lang w:eastAsia="bg-BG"/>
        </w:rPr>
        <w:t xml:space="preserve"> хил. кв. м. Средната полезна площ на едно жилище е 80.</w:t>
      </w:r>
      <w:r w:rsidRPr="00306486">
        <w:rPr>
          <w:rFonts w:ascii="Verdana" w:eastAsia="Μοντέρνα" w:hAnsi="Verdana"/>
          <w:sz w:val="20"/>
          <w:szCs w:val="20"/>
          <w:lang w:val="en-US" w:eastAsia="bg-BG"/>
        </w:rPr>
        <w:t>6</w:t>
      </w:r>
      <w:r w:rsidRPr="00306486">
        <w:rPr>
          <w:rFonts w:ascii="Verdana" w:eastAsia="Μοντέρνα" w:hAnsi="Verdana"/>
          <w:sz w:val="20"/>
          <w:szCs w:val="20"/>
          <w:lang w:eastAsia="bg-BG"/>
        </w:rPr>
        <w:t xml:space="preserve"> кв. м, като в градовете тя е 82.</w:t>
      </w:r>
      <w:r w:rsidRPr="00306486">
        <w:rPr>
          <w:rFonts w:ascii="Verdana" w:eastAsia="Μοντέρνα" w:hAnsi="Verdana"/>
          <w:sz w:val="20"/>
          <w:szCs w:val="20"/>
          <w:lang w:val="en-US" w:eastAsia="bg-BG"/>
        </w:rPr>
        <w:t>6</w:t>
      </w:r>
      <w:r w:rsidRPr="00306486">
        <w:rPr>
          <w:rFonts w:ascii="Verdana" w:eastAsia="Μοντέρνα" w:hAnsi="Verdana"/>
          <w:sz w:val="20"/>
          <w:szCs w:val="20"/>
          <w:lang w:eastAsia="bg-BG"/>
        </w:rPr>
        <w:t xml:space="preserve"> кв. м, а в селата - 77.</w:t>
      </w:r>
      <w:r w:rsidR="00306486" w:rsidRPr="00306486">
        <w:rPr>
          <w:rFonts w:ascii="Verdana" w:eastAsia="Μοντέρνα" w:hAnsi="Verdana"/>
          <w:sz w:val="20"/>
          <w:szCs w:val="20"/>
          <w:lang w:eastAsia="bg-BG"/>
        </w:rPr>
        <w:t>2</w:t>
      </w:r>
      <w:r w:rsidRPr="00306486">
        <w:rPr>
          <w:rFonts w:ascii="Verdana" w:eastAsia="Μοντέρνα" w:hAnsi="Verdana"/>
          <w:sz w:val="20"/>
          <w:szCs w:val="20"/>
          <w:lang w:eastAsia="bg-BG"/>
        </w:rPr>
        <w:t xml:space="preserve"> кв. метра. </w:t>
      </w:r>
    </w:p>
    <w:p w14:paraId="121B959A" w14:textId="77777777" w:rsidR="00D17155" w:rsidRPr="007806C5" w:rsidRDefault="00D17155" w:rsidP="00D17155">
      <w:pPr>
        <w:spacing w:after="0" w:line="360" w:lineRule="auto"/>
        <w:ind w:right="-1"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306486">
        <w:rPr>
          <w:rFonts w:ascii="Verdana" w:eastAsia="Μοντέρνα" w:hAnsi="Verdana"/>
          <w:sz w:val="20"/>
          <w:szCs w:val="20"/>
          <w:lang w:eastAsia="bg-BG"/>
        </w:rPr>
        <w:t>Средната жилищна площ на човек от населението в област Добрич е 4</w:t>
      </w:r>
      <w:r w:rsidRPr="00306486">
        <w:rPr>
          <w:rFonts w:ascii="Verdana" w:eastAsia="Μοντέρνα" w:hAnsi="Verdana"/>
          <w:sz w:val="20"/>
          <w:szCs w:val="20"/>
          <w:lang w:val="en-US" w:eastAsia="bg-BG"/>
        </w:rPr>
        <w:t>4</w:t>
      </w:r>
      <w:r w:rsidRPr="00306486">
        <w:rPr>
          <w:rFonts w:ascii="Verdana" w:eastAsia="Μοντέρνα" w:hAnsi="Verdana"/>
          <w:sz w:val="20"/>
          <w:szCs w:val="20"/>
          <w:lang w:eastAsia="bg-BG"/>
        </w:rPr>
        <w:t>.</w:t>
      </w:r>
      <w:r w:rsidRPr="00306486">
        <w:rPr>
          <w:rFonts w:ascii="Verdana" w:eastAsia="Μοντέρνα" w:hAnsi="Verdana"/>
          <w:sz w:val="20"/>
          <w:szCs w:val="20"/>
          <w:lang w:val="en-US" w:eastAsia="bg-BG"/>
        </w:rPr>
        <w:t>7</w:t>
      </w:r>
      <w:r w:rsidRPr="00306486">
        <w:rPr>
          <w:rFonts w:ascii="Verdana" w:eastAsia="Μοντέρνα" w:hAnsi="Verdana"/>
          <w:sz w:val="20"/>
          <w:szCs w:val="20"/>
          <w:lang w:eastAsia="bg-BG"/>
        </w:rPr>
        <w:t xml:space="preserve"> кв. м при средна за страната - 42.</w:t>
      </w:r>
      <w:r w:rsidRPr="00306486">
        <w:rPr>
          <w:rFonts w:ascii="Verdana" w:eastAsia="Μοντέρνα" w:hAnsi="Verdana"/>
          <w:sz w:val="20"/>
          <w:szCs w:val="20"/>
          <w:lang w:val="en-US" w:eastAsia="bg-BG"/>
        </w:rPr>
        <w:t>6</w:t>
      </w:r>
      <w:r w:rsidRPr="00306486">
        <w:rPr>
          <w:rFonts w:ascii="Verdana" w:eastAsia="Μοντέρνα" w:hAnsi="Verdana"/>
          <w:sz w:val="20"/>
          <w:szCs w:val="20"/>
          <w:lang w:eastAsia="bg-BG"/>
        </w:rPr>
        <w:t xml:space="preserve"> кв. метра.</w:t>
      </w:r>
      <w:r w:rsidRPr="007806C5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</w:p>
    <w:p w14:paraId="4746E772" w14:textId="0BBBC9E4" w:rsidR="005D6319" w:rsidRPr="007806C5" w:rsidRDefault="005D6319" w:rsidP="005D6319">
      <w:pPr>
        <w:spacing w:after="0" w:line="360" w:lineRule="auto"/>
        <w:ind w:right="-1"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723B5D">
        <w:rPr>
          <w:rFonts w:ascii="Verdana" w:eastAsia="Μοντέρνα" w:hAnsi="Verdana"/>
          <w:sz w:val="20"/>
          <w:szCs w:val="20"/>
          <w:lang w:eastAsia="bg-BG"/>
        </w:rPr>
        <w:t>Преобладават жилищата с две и три стаи, с относителен дял от 67.</w:t>
      </w:r>
      <w:r w:rsidR="00F86FF3">
        <w:rPr>
          <w:rFonts w:ascii="Verdana" w:eastAsia="Μοντέρνα" w:hAnsi="Verdana"/>
          <w:sz w:val="20"/>
          <w:szCs w:val="20"/>
          <w:lang w:eastAsia="bg-BG"/>
        </w:rPr>
        <w:t>5</w:t>
      </w:r>
      <w:r w:rsidRPr="00723B5D">
        <w:rPr>
          <w:rFonts w:ascii="Verdana" w:eastAsia="Μοντέρνα" w:hAnsi="Verdana"/>
          <w:sz w:val="20"/>
          <w:szCs w:val="20"/>
          <w:lang w:eastAsia="bg-BG"/>
        </w:rPr>
        <w:t>% от общия брой на жилищата. Относителният дял на жилищата с четири стаи е 18.</w:t>
      </w:r>
      <w:r w:rsidRPr="00723B5D">
        <w:rPr>
          <w:rFonts w:ascii="Verdana" w:eastAsia="Μοντέρνα" w:hAnsi="Verdana"/>
          <w:sz w:val="20"/>
          <w:szCs w:val="20"/>
          <w:lang w:val="en-US" w:eastAsia="bg-BG"/>
        </w:rPr>
        <w:t>4</w:t>
      </w:r>
      <w:r w:rsidRPr="00723B5D">
        <w:rPr>
          <w:rFonts w:ascii="Verdana" w:eastAsia="Μοντέρνα" w:hAnsi="Verdana"/>
          <w:sz w:val="20"/>
          <w:szCs w:val="20"/>
          <w:lang w:eastAsia="bg-BG"/>
        </w:rPr>
        <w:t xml:space="preserve">%, на </w:t>
      </w:r>
      <w:r w:rsidRPr="00723B5D">
        <w:rPr>
          <w:rFonts w:ascii="Verdana" w:eastAsia="Μοντέρνα" w:hAnsi="Verdana"/>
          <w:sz w:val="20"/>
          <w:szCs w:val="20"/>
          <w:lang w:eastAsia="bg-BG"/>
        </w:rPr>
        <w:lastRenderedPageBreak/>
        <w:t>едностайните жилища - 6.</w:t>
      </w:r>
      <w:r w:rsidR="00F86FF3">
        <w:rPr>
          <w:rFonts w:ascii="Verdana" w:eastAsia="Μοντέρνα" w:hAnsi="Verdana"/>
          <w:sz w:val="20"/>
          <w:szCs w:val="20"/>
          <w:lang w:eastAsia="bg-BG"/>
        </w:rPr>
        <w:t>5</w:t>
      </w:r>
      <w:r w:rsidRPr="00723B5D">
        <w:rPr>
          <w:rFonts w:ascii="Verdana" w:eastAsia="Μοντέρνα" w:hAnsi="Verdana"/>
          <w:sz w:val="20"/>
          <w:szCs w:val="20"/>
          <w:lang w:eastAsia="bg-BG"/>
        </w:rPr>
        <w:t>%, на петстайните - 4.4%, а жилищата с шест и повече стаи са 3.2% от всички жилища в областта.</w:t>
      </w:r>
      <w:r w:rsidRPr="007806C5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</w:p>
    <w:p w14:paraId="0629EA97" w14:textId="77777777" w:rsidR="005D6319" w:rsidRDefault="005D6319" w:rsidP="005D6319">
      <w:pPr>
        <w:spacing w:after="0" w:line="360" w:lineRule="auto"/>
        <w:ind w:right="-1"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723B5D">
        <w:rPr>
          <w:rFonts w:ascii="Verdana" w:eastAsia="Μοντέρνα" w:hAnsi="Verdana"/>
          <w:sz w:val="20"/>
          <w:szCs w:val="20"/>
          <w:lang w:eastAsia="bg-BG"/>
        </w:rPr>
        <w:t xml:space="preserve">По местоживеене (град-село) в големината на жилищата, изразена чрез броя на стаите, се наблюдават различия, които са най-значими по отношение на </w:t>
      </w:r>
      <w:r w:rsidR="00723B5D" w:rsidRPr="00723B5D">
        <w:rPr>
          <w:rFonts w:ascii="Verdana" w:eastAsia="Μοντέρνα" w:hAnsi="Verdana"/>
          <w:sz w:val="20"/>
          <w:szCs w:val="20"/>
          <w:lang w:eastAsia="bg-BG"/>
        </w:rPr>
        <w:t>дву</w:t>
      </w:r>
      <w:r w:rsidRPr="00723B5D">
        <w:rPr>
          <w:rFonts w:ascii="Verdana" w:eastAsia="Μοντέρνα" w:hAnsi="Verdana"/>
          <w:sz w:val="20"/>
          <w:szCs w:val="20"/>
          <w:lang w:eastAsia="bg-BG"/>
        </w:rPr>
        <w:t xml:space="preserve">стайните жилища. В градовете на областта техният относителен дял е </w:t>
      </w:r>
      <w:r w:rsidR="00723B5D" w:rsidRPr="00723B5D">
        <w:rPr>
          <w:rFonts w:ascii="Verdana" w:eastAsia="Μοντέρνα" w:hAnsi="Verdana"/>
          <w:sz w:val="20"/>
          <w:szCs w:val="20"/>
          <w:lang w:eastAsia="bg-BG"/>
        </w:rPr>
        <w:t>34.6</w:t>
      </w:r>
      <w:r w:rsidRPr="00723B5D">
        <w:rPr>
          <w:rFonts w:ascii="Verdana" w:eastAsia="Μοντέρνα" w:hAnsi="Verdana"/>
          <w:sz w:val="20"/>
          <w:szCs w:val="20"/>
          <w:lang w:eastAsia="bg-BG"/>
        </w:rPr>
        <w:t xml:space="preserve">%, а в селата - </w:t>
      </w:r>
      <w:r w:rsidR="00723B5D" w:rsidRPr="00723B5D">
        <w:rPr>
          <w:rFonts w:ascii="Verdana" w:eastAsia="Μοντέρνα" w:hAnsi="Verdana"/>
          <w:sz w:val="20"/>
          <w:szCs w:val="20"/>
          <w:lang w:eastAsia="bg-BG"/>
        </w:rPr>
        <w:t>20.3</w:t>
      </w:r>
      <w:r w:rsidRPr="00723B5D">
        <w:rPr>
          <w:rFonts w:ascii="Verdana" w:eastAsia="Μοντέρνα" w:hAnsi="Verdana"/>
          <w:sz w:val="20"/>
          <w:szCs w:val="20"/>
          <w:lang w:eastAsia="bg-BG"/>
        </w:rPr>
        <w:t>%</w:t>
      </w:r>
      <w:r w:rsidR="00132728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="00132728" w:rsidRPr="00132728">
        <w:rPr>
          <w:rFonts w:ascii="Verdana" w:eastAsia="Μοντέρνα" w:hAnsi="Verdana"/>
          <w:sz w:val="20"/>
          <w:szCs w:val="20"/>
          <w:lang w:eastAsia="bg-BG"/>
        </w:rPr>
        <w:t>(виж фиг. 1)</w:t>
      </w:r>
      <w:r w:rsidRPr="00723B5D">
        <w:rPr>
          <w:rFonts w:ascii="Verdana" w:eastAsia="Μοντέρνα" w:hAnsi="Verdana"/>
          <w:sz w:val="20"/>
          <w:szCs w:val="20"/>
          <w:lang w:eastAsia="bg-BG"/>
        </w:rPr>
        <w:t xml:space="preserve">. </w:t>
      </w:r>
    </w:p>
    <w:p w14:paraId="11196518" w14:textId="77777777" w:rsidR="00DD2B0A" w:rsidRDefault="007C7EB0" w:rsidP="00440858">
      <w:pPr>
        <w:spacing w:before="160" w:line="360" w:lineRule="auto"/>
        <w:jc w:val="center"/>
        <w:rPr>
          <w:rFonts w:ascii="Verdana" w:eastAsia="Times New Roman" w:hAnsi="Verdana" w:cs="???t???a"/>
          <w:b/>
          <w:sz w:val="20"/>
          <w:szCs w:val="20"/>
        </w:rPr>
      </w:pPr>
      <w:r>
        <w:rPr>
          <w:rFonts w:ascii="Verdana" w:eastAsia="Times New Roman" w:hAnsi="Verdana" w:cs="???t???a"/>
          <w:b/>
          <w:sz w:val="20"/>
          <w:szCs w:val="20"/>
        </w:rPr>
        <w:t xml:space="preserve">     </w:t>
      </w:r>
      <w:r w:rsidR="00DD2B0A" w:rsidRPr="00773811">
        <w:rPr>
          <w:rFonts w:ascii="Verdana" w:eastAsia="Times New Roman" w:hAnsi="Verdana" w:cs="???t???a"/>
          <w:b/>
          <w:sz w:val="20"/>
          <w:szCs w:val="20"/>
        </w:rPr>
        <w:t xml:space="preserve">Фиг. 1. Жилища по брой на стаите в област </w:t>
      </w:r>
      <w:r w:rsidRPr="007C7EB0">
        <w:rPr>
          <w:rFonts w:ascii="Verdana" w:eastAsia="Times New Roman" w:hAnsi="Verdana" w:cs="???t???a"/>
          <w:b/>
          <w:sz w:val="20"/>
          <w:szCs w:val="20"/>
        </w:rPr>
        <w:t>Добрич</w:t>
      </w:r>
      <w:r w:rsidR="00DD2B0A" w:rsidRPr="00773811">
        <w:rPr>
          <w:rFonts w:ascii="Verdana" w:eastAsia="Times New Roman" w:hAnsi="Verdana" w:cs="???t???a"/>
          <w:b/>
          <w:sz w:val="20"/>
          <w:szCs w:val="20"/>
        </w:rPr>
        <w:t xml:space="preserve"> към 31.12.202</w:t>
      </w:r>
      <w:r w:rsidR="00DD2B0A">
        <w:rPr>
          <w:rFonts w:ascii="Verdana" w:eastAsia="Times New Roman" w:hAnsi="Verdana" w:cs="???t???a"/>
          <w:b/>
          <w:sz w:val="20"/>
          <w:szCs w:val="20"/>
          <w:lang w:val="en-US"/>
        </w:rPr>
        <w:t>4</w:t>
      </w:r>
      <w:r w:rsidR="00DD2B0A" w:rsidRPr="00773811">
        <w:rPr>
          <w:rFonts w:ascii="Verdana" w:eastAsia="Times New Roman" w:hAnsi="Verdana" w:cs="???t???a"/>
          <w:b/>
          <w:sz w:val="20"/>
          <w:szCs w:val="20"/>
        </w:rPr>
        <w:t xml:space="preserve"> година</w:t>
      </w:r>
    </w:p>
    <w:p w14:paraId="16481314" w14:textId="77777777" w:rsidR="00DD2B0A" w:rsidRPr="00723B5D" w:rsidRDefault="00DD2B0A" w:rsidP="00DD2B0A">
      <w:pPr>
        <w:spacing w:after="0" w:line="360" w:lineRule="auto"/>
        <w:ind w:right="-1"/>
        <w:jc w:val="center"/>
        <w:rPr>
          <w:rFonts w:ascii="Verdana" w:eastAsia="Μοντέρνα" w:hAnsi="Verdana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26460D1F" wp14:editId="68721F99">
            <wp:extent cx="6261100" cy="3381153"/>
            <wp:effectExtent l="0" t="0" r="63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6109312" w14:textId="77777777" w:rsidR="005D6319" w:rsidRPr="006B1D9F" w:rsidRDefault="005D6319" w:rsidP="005D6319">
      <w:pPr>
        <w:spacing w:after="0" w:line="360" w:lineRule="auto"/>
        <w:ind w:right="-1"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723B5D">
        <w:rPr>
          <w:rFonts w:ascii="Verdana" w:eastAsia="Μοντέρνα" w:hAnsi="Verdana"/>
          <w:sz w:val="20"/>
          <w:szCs w:val="20"/>
          <w:lang w:eastAsia="bg-BG"/>
        </w:rPr>
        <w:t xml:space="preserve">Осигуреността с жилища на 1 000 души от </w:t>
      </w:r>
      <w:r w:rsidR="00B56F73" w:rsidRPr="00723B5D">
        <w:rPr>
          <w:rFonts w:ascii="Verdana" w:eastAsia="Μοντέρνα" w:hAnsi="Verdana"/>
          <w:sz w:val="20"/>
          <w:szCs w:val="20"/>
          <w:lang w:eastAsia="bg-BG"/>
        </w:rPr>
        <w:t>населението в област Добрич е 7</w:t>
      </w:r>
      <w:r w:rsidR="00B56F73" w:rsidRPr="00723B5D">
        <w:rPr>
          <w:rFonts w:ascii="Verdana" w:eastAsia="Μοντέρνα" w:hAnsi="Verdana"/>
          <w:sz w:val="20"/>
          <w:szCs w:val="20"/>
          <w:lang w:val="en-US" w:eastAsia="bg-BG"/>
        </w:rPr>
        <w:t xml:space="preserve">17 </w:t>
      </w:r>
      <w:r w:rsidR="00B56F73" w:rsidRPr="00723B5D">
        <w:rPr>
          <w:rFonts w:ascii="Verdana" w:eastAsia="Μοντέρνα" w:hAnsi="Verdana"/>
          <w:sz w:val="20"/>
          <w:szCs w:val="20"/>
          <w:lang w:eastAsia="bg-BG"/>
        </w:rPr>
        <w:t>при 6</w:t>
      </w:r>
      <w:r w:rsidR="00B56F73" w:rsidRPr="00723B5D">
        <w:rPr>
          <w:rFonts w:ascii="Verdana" w:eastAsia="Μοντέρνα" w:hAnsi="Verdana"/>
          <w:sz w:val="20"/>
          <w:szCs w:val="20"/>
          <w:lang w:val="en-US" w:eastAsia="bg-BG"/>
        </w:rPr>
        <w:t>7</w:t>
      </w:r>
      <w:r w:rsidR="00723B5D">
        <w:rPr>
          <w:rFonts w:ascii="Verdana" w:eastAsia="Μοντέρνα" w:hAnsi="Verdana"/>
          <w:sz w:val="20"/>
          <w:szCs w:val="20"/>
          <w:lang w:eastAsia="bg-BG"/>
        </w:rPr>
        <w:t>2</w:t>
      </w:r>
      <w:r w:rsidRPr="00723B5D">
        <w:rPr>
          <w:rFonts w:ascii="Verdana" w:eastAsia="Μοντέρνα" w:hAnsi="Verdana"/>
          <w:sz w:val="20"/>
          <w:szCs w:val="20"/>
          <w:lang w:eastAsia="bg-BG"/>
        </w:rPr>
        <w:t xml:space="preserve"> средно за страната. В градовете на областта осигуреността с жилища е 6</w:t>
      </w:r>
      <w:r w:rsidR="00B56F73" w:rsidRPr="00723B5D">
        <w:rPr>
          <w:rFonts w:ascii="Verdana" w:eastAsia="Μοντέρνα" w:hAnsi="Verdana"/>
          <w:sz w:val="20"/>
          <w:szCs w:val="20"/>
          <w:lang w:val="en-US" w:eastAsia="bg-BG"/>
        </w:rPr>
        <w:t>35</w:t>
      </w:r>
      <w:r w:rsidRPr="00723B5D">
        <w:rPr>
          <w:rFonts w:ascii="Verdana" w:eastAsia="Μοντέρνα" w:hAnsi="Verdana"/>
          <w:sz w:val="20"/>
          <w:szCs w:val="20"/>
          <w:lang w:eastAsia="bg-BG"/>
        </w:rPr>
        <w:t xml:space="preserve">, а в </w:t>
      </w:r>
      <w:r w:rsidRPr="006B1D9F">
        <w:rPr>
          <w:rFonts w:ascii="Verdana" w:eastAsia="Μοντέρνα" w:hAnsi="Verdana"/>
          <w:sz w:val="20"/>
          <w:szCs w:val="20"/>
          <w:lang w:eastAsia="bg-BG"/>
        </w:rPr>
        <w:t>селата -</w:t>
      </w:r>
      <w:r w:rsidR="00B56F73" w:rsidRPr="006B1D9F">
        <w:rPr>
          <w:rFonts w:ascii="Verdana" w:eastAsia="Μοντέρνα" w:hAnsi="Verdana"/>
          <w:sz w:val="20"/>
          <w:szCs w:val="20"/>
          <w:lang w:val="en-US" w:eastAsia="bg-BG"/>
        </w:rPr>
        <w:t xml:space="preserve"> </w:t>
      </w:r>
      <w:r w:rsidRPr="006B1D9F">
        <w:rPr>
          <w:rFonts w:ascii="Verdana" w:eastAsia="Μοντέρνα" w:hAnsi="Verdana"/>
          <w:sz w:val="20"/>
          <w:szCs w:val="20"/>
          <w:lang w:eastAsia="bg-BG"/>
        </w:rPr>
        <w:t>9</w:t>
      </w:r>
      <w:r w:rsidR="00B56F73" w:rsidRPr="006B1D9F">
        <w:rPr>
          <w:rFonts w:ascii="Verdana" w:eastAsia="Μοντέρνα" w:hAnsi="Verdana"/>
          <w:sz w:val="20"/>
          <w:szCs w:val="20"/>
          <w:lang w:val="en-US" w:eastAsia="bg-BG"/>
        </w:rPr>
        <w:t>07</w:t>
      </w:r>
      <w:r w:rsidRPr="006B1D9F">
        <w:rPr>
          <w:rFonts w:ascii="Verdana" w:eastAsia="Μοντέρνα" w:hAnsi="Verdana"/>
          <w:sz w:val="20"/>
          <w:szCs w:val="20"/>
          <w:lang w:eastAsia="bg-BG"/>
        </w:rPr>
        <w:t xml:space="preserve">. </w:t>
      </w:r>
    </w:p>
    <w:p w14:paraId="24E70B35" w14:textId="77777777" w:rsidR="005D6319" w:rsidRPr="00C928ED" w:rsidRDefault="005D6319" w:rsidP="005D6319">
      <w:pPr>
        <w:spacing w:after="0" w:line="360" w:lineRule="auto"/>
        <w:ind w:right="-1" w:firstLine="567"/>
        <w:jc w:val="both"/>
        <w:rPr>
          <w:rFonts w:ascii="Verdana" w:eastAsia="Μοντέρνα" w:hAnsi="Verdana"/>
          <w:sz w:val="20"/>
          <w:szCs w:val="20"/>
          <w:highlight w:val="yellow"/>
          <w:lang w:eastAsia="bg-BG"/>
        </w:rPr>
      </w:pPr>
      <w:r w:rsidRPr="006B1D9F">
        <w:rPr>
          <w:rFonts w:ascii="Verdana" w:eastAsia="Μοντέρνα" w:hAnsi="Verdana"/>
          <w:sz w:val="20"/>
          <w:szCs w:val="20"/>
          <w:lang w:eastAsia="bg-BG"/>
        </w:rPr>
        <w:t>Населеността на жилищата се определя от средния брой лица, живеещи в едно жилище. През 202</w:t>
      </w:r>
      <w:r w:rsidR="00F5066D" w:rsidRPr="006B1D9F">
        <w:rPr>
          <w:rFonts w:ascii="Verdana" w:eastAsia="Μοντέρνα" w:hAnsi="Verdana"/>
          <w:sz w:val="20"/>
          <w:szCs w:val="20"/>
          <w:lang w:val="en-US" w:eastAsia="bg-BG"/>
        </w:rPr>
        <w:t>4</w:t>
      </w:r>
      <w:r w:rsidRPr="006B1D9F">
        <w:rPr>
          <w:rFonts w:ascii="Verdana" w:eastAsia="Μοντέρνα" w:hAnsi="Verdana"/>
          <w:sz w:val="20"/>
          <w:szCs w:val="20"/>
          <w:lang w:eastAsia="bg-BG"/>
        </w:rPr>
        <w:t xml:space="preserve"> г. в едно жилище в област Добрич живеят средно 1.4 лица. В градовете живеят средно 1.6 лица в едно жилище, а в селата - 1.1 лица. </w:t>
      </w:r>
      <w:r w:rsidR="006B1D9F" w:rsidRPr="006B1D9F">
        <w:rPr>
          <w:rFonts w:ascii="Verdana" w:eastAsia="Μοντέρνα" w:hAnsi="Verdana"/>
          <w:sz w:val="20"/>
          <w:szCs w:val="20"/>
          <w:lang w:eastAsia="bg-BG"/>
        </w:rPr>
        <w:t>Най-висок среден брой лица на едно жилище пре</w:t>
      </w:r>
      <w:r w:rsidR="006B1D9F">
        <w:rPr>
          <w:rFonts w:ascii="Verdana" w:eastAsia="Μοντέρνα" w:hAnsi="Verdana"/>
          <w:sz w:val="20"/>
          <w:szCs w:val="20"/>
          <w:lang w:eastAsia="bg-BG"/>
        </w:rPr>
        <w:t>з 2024 г. е регистриран в общините</w:t>
      </w:r>
      <w:r w:rsidR="006B1D9F" w:rsidRPr="006B1D9F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="006B1D9F">
        <w:rPr>
          <w:rFonts w:ascii="Verdana" w:eastAsia="Μοντέρνα" w:hAnsi="Verdana"/>
          <w:sz w:val="20"/>
          <w:szCs w:val="20"/>
          <w:lang w:eastAsia="bg-BG"/>
        </w:rPr>
        <w:t>Тервел</w:t>
      </w:r>
      <w:r w:rsidR="006B1D9F" w:rsidRPr="006B1D9F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="006B1D9F">
        <w:rPr>
          <w:rFonts w:ascii="Verdana" w:eastAsia="Μοντέρνα" w:hAnsi="Verdana"/>
          <w:sz w:val="20"/>
          <w:szCs w:val="20"/>
          <w:lang w:eastAsia="bg-BG"/>
        </w:rPr>
        <w:t xml:space="preserve">и град Добрич </w:t>
      </w:r>
      <w:r w:rsidR="006B1D9F" w:rsidRPr="006B1D9F">
        <w:rPr>
          <w:rFonts w:ascii="Verdana" w:eastAsia="Μοντέρνα" w:hAnsi="Verdana"/>
          <w:sz w:val="20"/>
          <w:szCs w:val="20"/>
          <w:lang w:eastAsia="bg-BG"/>
        </w:rPr>
        <w:t>-</w:t>
      </w:r>
      <w:r w:rsidR="006B1D9F">
        <w:rPr>
          <w:rFonts w:ascii="Verdana" w:eastAsia="Μοντέρνα" w:hAnsi="Verdana"/>
          <w:sz w:val="20"/>
          <w:szCs w:val="20"/>
          <w:lang w:eastAsia="bg-BG"/>
        </w:rPr>
        <w:t xml:space="preserve"> съответно</w:t>
      </w:r>
      <w:r w:rsidR="006B1D9F" w:rsidRPr="006B1D9F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="006B1D9F">
        <w:rPr>
          <w:rFonts w:ascii="Verdana" w:eastAsia="Μοντέρνα" w:hAnsi="Verdana"/>
          <w:sz w:val="20"/>
          <w:szCs w:val="20"/>
          <w:lang w:eastAsia="bg-BG"/>
        </w:rPr>
        <w:t>1.7 и 1.6 лица в едно жилище</w:t>
      </w:r>
      <w:r w:rsidR="006B1D9F" w:rsidRPr="006B1D9F">
        <w:rPr>
          <w:rFonts w:ascii="Verdana" w:eastAsia="Μοντέρνα" w:hAnsi="Verdana"/>
          <w:sz w:val="20"/>
          <w:szCs w:val="20"/>
          <w:lang w:eastAsia="bg-BG"/>
        </w:rPr>
        <w:t xml:space="preserve">, а най-нисък в общините </w:t>
      </w:r>
      <w:r w:rsidR="006B1D9F">
        <w:rPr>
          <w:rFonts w:ascii="Verdana" w:eastAsia="Μοντέρνα" w:hAnsi="Verdana"/>
          <w:sz w:val="20"/>
          <w:szCs w:val="20"/>
          <w:lang w:eastAsia="bg-BG"/>
        </w:rPr>
        <w:t>Балчик и Шабла</w:t>
      </w:r>
      <w:r w:rsidR="006B1D9F" w:rsidRPr="006B1D9F">
        <w:rPr>
          <w:rFonts w:ascii="Verdana" w:eastAsia="Μοντέρνα" w:hAnsi="Verdana"/>
          <w:sz w:val="20"/>
          <w:szCs w:val="20"/>
          <w:lang w:eastAsia="bg-BG"/>
        </w:rPr>
        <w:t xml:space="preserve"> - по 1.</w:t>
      </w:r>
      <w:r w:rsidR="006B1D9F">
        <w:rPr>
          <w:rFonts w:ascii="Verdana" w:eastAsia="Μοντέρνα" w:hAnsi="Verdana"/>
          <w:sz w:val="20"/>
          <w:szCs w:val="20"/>
          <w:lang w:eastAsia="bg-BG"/>
        </w:rPr>
        <w:t>0 лице</w:t>
      </w:r>
      <w:r w:rsidR="006B1D9F" w:rsidRPr="006B1D9F">
        <w:rPr>
          <w:rFonts w:ascii="Verdana" w:eastAsia="Μοντέρνα" w:hAnsi="Verdana"/>
          <w:sz w:val="20"/>
          <w:szCs w:val="20"/>
          <w:lang w:eastAsia="bg-BG"/>
        </w:rPr>
        <w:t>.</w:t>
      </w:r>
    </w:p>
    <w:p w14:paraId="4EA5B8C9" w14:textId="77777777" w:rsidR="005D6319" w:rsidRPr="00D4793F" w:rsidRDefault="005D6319" w:rsidP="005D6319">
      <w:pPr>
        <w:spacing w:after="0" w:line="360" w:lineRule="auto"/>
        <w:ind w:right="-1"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D4793F">
        <w:rPr>
          <w:rFonts w:ascii="Verdana" w:eastAsia="Μοντέρνα" w:hAnsi="Verdana"/>
          <w:sz w:val="20"/>
          <w:szCs w:val="20"/>
          <w:lang w:eastAsia="bg-BG"/>
        </w:rPr>
        <w:t xml:space="preserve">Основните признаци, характеризиращи </w:t>
      </w:r>
      <w:proofErr w:type="spellStart"/>
      <w:r w:rsidRPr="00D4793F">
        <w:rPr>
          <w:rFonts w:ascii="Verdana" w:eastAsia="Μοντέρνα" w:hAnsi="Verdana"/>
          <w:sz w:val="20"/>
          <w:szCs w:val="20"/>
          <w:lang w:eastAsia="bg-BG"/>
        </w:rPr>
        <w:t>благоустроеността</w:t>
      </w:r>
      <w:proofErr w:type="spellEnd"/>
      <w:r w:rsidRPr="00D4793F">
        <w:rPr>
          <w:rFonts w:ascii="Verdana" w:eastAsia="Μοντέρνα" w:hAnsi="Verdana"/>
          <w:sz w:val="20"/>
          <w:szCs w:val="20"/>
          <w:lang w:eastAsia="bg-BG"/>
        </w:rPr>
        <w:t xml:space="preserve"> на жилищата, са електрификация, </w:t>
      </w:r>
      <w:proofErr w:type="spellStart"/>
      <w:r w:rsidRPr="00D4793F">
        <w:rPr>
          <w:rFonts w:ascii="Verdana" w:eastAsia="Μοντέρνα" w:hAnsi="Verdana"/>
          <w:sz w:val="20"/>
          <w:szCs w:val="20"/>
          <w:lang w:eastAsia="bg-BG"/>
        </w:rPr>
        <w:t>водоснабденост</w:t>
      </w:r>
      <w:proofErr w:type="spellEnd"/>
      <w:r w:rsidRPr="00D4793F">
        <w:rPr>
          <w:rFonts w:ascii="Verdana" w:eastAsia="Μοντέρνα" w:hAnsi="Verdana"/>
          <w:sz w:val="20"/>
          <w:szCs w:val="20"/>
          <w:lang w:eastAsia="bg-BG"/>
        </w:rPr>
        <w:t xml:space="preserve">, канализация и изградена инсталация за централно или местно отопление (парно или газ). </w:t>
      </w:r>
    </w:p>
    <w:p w14:paraId="46AECA44" w14:textId="77777777" w:rsidR="005D6319" w:rsidRDefault="00F5066D" w:rsidP="005D6319">
      <w:pPr>
        <w:spacing w:after="0" w:line="360" w:lineRule="auto"/>
        <w:ind w:right="-1"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D4793F">
        <w:rPr>
          <w:rFonts w:ascii="Verdana" w:eastAsia="Μοντέρνα" w:hAnsi="Verdana"/>
          <w:sz w:val="20"/>
          <w:szCs w:val="20"/>
          <w:lang w:eastAsia="bg-BG"/>
        </w:rPr>
        <w:t>От всички 10</w:t>
      </w:r>
      <w:r w:rsidRPr="00D4793F">
        <w:rPr>
          <w:rFonts w:ascii="Verdana" w:eastAsia="Μοντέρνα" w:hAnsi="Verdana"/>
          <w:sz w:val="20"/>
          <w:szCs w:val="20"/>
          <w:lang w:val="en-US" w:eastAsia="bg-BG"/>
        </w:rPr>
        <w:t>4</w:t>
      </w:r>
      <w:r w:rsidR="005D6319" w:rsidRPr="00D4793F">
        <w:rPr>
          <w:rFonts w:ascii="Verdana" w:eastAsia="Μοντέρνα" w:hAnsi="Verdana"/>
          <w:sz w:val="20"/>
          <w:szCs w:val="20"/>
          <w:lang w:eastAsia="bg-BG"/>
        </w:rPr>
        <w:t>.</w:t>
      </w:r>
      <w:r w:rsidRPr="00D4793F">
        <w:rPr>
          <w:rFonts w:ascii="Verdana" w:eastAsia="Μοντέρνα" w:hAnsi="Verdana"/>
          <w:sz w:val="20"/>
          <w:szCs w:val="20"/>
          <w:lang w:val="en-US" w:eastAsia="bg-BG"/>
        </w:rPr>
        <w:t>1</w:t>
      </w:r>
      <w:r w:rsidRPr="00D4793F">
        <w:rPr>
          <w:rFonts w:ascii="Verdana" w:eastAsia="Μοντέρνα" w:hAnsi="Verdana"/>
          <w:sz w:val="20"/>
          <w:szCs w:val="20"/>
          <w:lang w:eastAsia="bg-BG"/>
        </w:rPr>
        <w:t xml:space="preserve"> хил. жилища, в област Добрич 5</w:t>
      </w:r>
      <w:r w:rsidRPr="00D4793F">
        <w:rPr>
          <w:rFonts w:ascii="Verdana" w:eastAsia="Μοντέρνα" w:hAnsi="Verdana"/>
          <w:sz w:val="20"/>
          <w:szCs w:val="20"/>
          <w:lang w:val="en-US" w:eastAsia="bg-BG"/>
        </w:rPr>
        <w:t>2</w:t>
      </w:r>
      <w:r w:rsidR="005D6319" w:rsidRPr="00D4793F">
        <w:rPr>
          <w:rFonts w:ascii="Verdana" w:eastAsia="Μοντέρνα" w:hAnsi="Verdana"/>
          <w:sz w:val="20"/>
          <w:szCs w:val="20"/>
          <w:lang w:eastAsia="bg-BG"/>
        </w:rPr>
        <w:t>.</w:t>
      </w:r>
      <w:r w:rsidRPr="00D4793F">
        <w:rPr>
          <w:rFonts w:ascii="Verdana" w:eastAsia="Μοντέρνα" w:hAnsi="Verdana"/>
          <w:sz w:val="20"/>
          <w:szCs w:val="20"/>
          <w:lang w:val="en-US" w:eastAsia="bg-BG"/>
        </w:rPr>
        <w:t>0</w:t>
      </w:r>
      <w:r w:rsidR="005D6319" w:rsidRPr="00D4793F">
        <w:rPr>
          <w:rFonts w:ascii="Verdana" w:eastAsia="Μοντέρνα" w:hAnsi="Verdana"/>
          <w:sz w:val="20"/>
          <w:szCs w:val="20"/>
          <w:lang w:eastAsia="bg-BG"/>
        </w:rPr>
        <w:t>% са електрифицира</w:t>
      </w:r>
      <w:r w:rsidR="00D4793F" w:rsidRPr="00D4793F">
        <w:rPr>
          <w:rFonts w:ascii="Verdana" w:eastAsia="Μοντέρνα" w:hAnsi="Verdana"/>
          <w:sz w:val="20"/>
          <w:szCs w:val="20"/>
          <w:lang w:eastAsia="bg-BG"/>
        </w:rPr>
        <w:t xml:space="preserve">ни, с водопровод и канализация. Електрифицирани само с водопровод 36.3% от жилищата,  </w:t>
      </w:r>
      <w:r w:rsidR="00D4793F" w:rsidRPr="00D4793F">
        <w:rPr>
          <w:rFonts w:ascii="Verdana" w:eastAsia="Μοντέρνα" w:hAnsi="Verdana"/>
          <w:sz w:val="20"/>
          <w:szCs w:val="20"/>
          <w:lang w:eastAsia="bg-BG"/>
        </w:rPr>
        <w:lastRenderedPageBreak/>
        <w:t>само електрифицирани са 5.3%, а е</w:t>
      </w:r>
      <w:r w:rsidR="005D6319" w:rsidRPr="00D4793F">
        <w:rPr>
          <w:rFonts w:ascii="Verdana" w:eastAsia="Μοντέρνα" w:hAnsi="Verdana"/>
          <w:sz w:val="20"/>
          <w:szCs w:val="20"/>
          <w:lang w:eastAsia="bg-BG"/>
        </w:rPr>
        <w:t xml:space="preserve">лектрифицираните жилища с водопровод, канализация и с централно или местно </w:t>
      </w:r>
      <w:r w:rsidR="00D4793F" w:rsidRPr="00D4793F">
        <w:rPr>
          <w:rFonts w:ascii="Verdana" w:eastAsia="Μοντέρνα" w:hAnsi="Verdana"/>
          <w:sz w:val="20"/>
          <w:szCs w:val="20"/>
          <w:lang w:eastAsia="bg-BG"/>
        </w:rPr>
        <w:t>отопление са 4.4%.</w:t>
      </w:r>
      <w:r w:rsidR="005D6319" w:rsidRPr="00D4793F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</w:p>
    <w:p w14:paraId="0DE65A74" w14:textId="5BA28344" w:rsidR="0001104C" w:rsidRPr="0001104C" w:rsidRDefault="0001104C" w:rsidP="00440858">
      <w:pPr>
        <w:spacing w:before="160" w:line="360" w:lineRule="auto"/>
        <w:jc w:val="center"/>
        <w:rPr>
          <w:rFonts w:ascii="Verdana" w:eastAsia="Times New Roman" w:hAnsi="Verdana" w:cs="???t???a"/>
          <w:b/>
          <w:bCs/>
          <w:color w:val="000000"/>
          <w:sz w:val="20"/>
          <w:szCs w:val="20"/>
          <w:lang w:eastAsia="bg-BG"/>
        </w:rPr>
      </w:pPr>
      <w:r w:rsidRPr="0001104C">
        <w:rPr>
          <w:rFonts w:ascii="Verdana" w:eastAsia="Times" w:hAnsi="Verdana" w:cs="???t???a"/>
          <w:b/>
          <w:sz w:val="20"/>
          <w:szCs w:val="20"/>
          <w:lang w:eastAsia="bg-BG"/>
        </w:rPr>
        <w:t>Ме</w:t>
      </w:r>
      <w:r w:rsidRPr="0001104C">
        <w:rPr>
          <w:rFonts w:ascii="Verdana" w:eastAsia="Times New Roman" w:hAnsi="Verdana" w:cs="???t???a"/>
          <w:b/>
          <w:bCs/>
          <w:color w:val="000000"/>
          <w:sz w:val="20"/>
          <w:szCs w:val="20"/>
          <w:lang w:eastAsia="bg-BG"/>
        </w:rPr>
        <w:t>тодологични бележки</w:t>
      </w:r>
    </w:p>
    <w:p w14:paraId="1D388F3B" w14:textId="2CC6A486" w:rsidR="0001104C" w:rsidRPr="0001104C" w:rsidRDefault="0001104C" w:rsidP="0001104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Times New Roman" w:hAnsi="Verdana" w:cs="TimesNewRomanPSMT"/>
          <w:sz w:val="20"/>
          <w:szCs w:val="20"/>
          <w:lang w:eastAsia="bg-BG"/>
        </w:rPr>
      </w:pPr>
      <w:r w:rsidRPr="0001104C">
        <w:rPr>
          <w:rFonts w:ascii="Verdana" w:eastAsia="Times New Roman" w:hAnsi="Verdana" w:cs="TimesNewRomanPSMT"/>
          <w:sz w:val="20"/>
          <w:szCs w:val="20"/>
          <w:lang w:eastAsia="bg-BG"/>
        </w:rPr>
        <w:t>Балансът на жилищния фонд към 31.12. е получен на база на резултатите от проведеното преброяване на жилищните сгради и жилищата през 2021 г., като са добавени данните за новопостроените и извадени данните за разрушените жилищни сгради и жилища до 31.12.2024 година.</w:t>
      </w:r>
    </w:p>
    <w:p w14:paraId="1DDB9E0E" w14:textId="77777777" w:rsidR="0001104C" w:rsidRPr="0001104C" w:rsidRDefault="0001104C" w:rsidP="0001104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Times New Roman" w:hAnsi="Verdana" w:cs="TimesNewRomanPSMT"/>
          <w:sz w:val="20"/>
          <w:szCs w:val="20"/>
          <w:lang w:eastAsia="bg-BG"/>
        </w:rPr>
      </w:pPr>
      <w:r w:rsidRPr="0001104C">
        <w:rPr>
          <w:rFonts w:ascii="Verdana" w:eastAsia="Times New Roman" w:hAnsi="Verdana" w:cs="TimesNewRomanPSMT"/>
          <w:b/>
          <w:sz w:val="20"/>
          <w:szCs w:val="20"/>
          <w:lang w:eastAsia="bg-BG"/>
        </w:rPr>
        <w:t>Жилищни сгради</w:t>
      </w:r>
      <w:r w:rsidRPr="0001104C">
        <w:rPr>
          <w:rFonts w:ascii="Verdana" w:eastAsia="Times New Roman" w:hAnsi="Verdana" w:cs="TimesNewRomanPSMT"/>
          <w:sz w:val="20"/>
          <w:szCs w:val="20"/>
          <w:lang w:eastAsia="bg-BG"/>
        </w:rPr>
        <w:t xml:space="preserve"> са сградите, които по първоначално изграждане или чрез преустрояване са предназначени за постоянно обитаване и се състоят от едно или повече жилища, които заемат най-малко 60% от разгънатата ѝ площ.</w:t>
      </w:r>
    </w:p>
    <w:p w14:paraId="0D4B4DD7" w14:textId="77777777" w:rsidR="0001104C" w:rsidRPr="0001104C" w:rsidRDefault="0001104C" w:rsidP="0001104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Times New Roman" w:hAnsi="Verdana" w:cs="TimesNewRomanPSMT"/>
          <w:sz w:val="20"/>
          <w:szCs w:val="20"/>
          <w:lang w:eastAsia="bg-BG"/>
        </w:rPr>
      </w:pPr>
      <w:r w:rsidRPr="0001104C">
        <w:rPr>
          <w:rFonts w:ascii="Verdana" w:eastAsia="Times New Roman" w:hAnsi="Verdana" w:cs="TimesNewRomanPSMT"/>
          <w:b/>
          <w:sz w:val="20"/>
          <w:szCs w:val="20"/>
          <w:lang w:eastAsia="bg-BG"/>
        </w:rPr>
        <w:t>Жилището</w:t>
      </w:r>
      <w:r w:rsidRPr="0001104C">
        <w:rPr>
          <w:rFonts w:ascii="Verdana" w:eastAsia="Times New Roman" w:hAnsi="Verdana" w:cs="TimesNewRomanPSMT"/>
          <w:sz w:val="20"/>
          <w:szCs w:val="20"/>
          <w:lang w:eastAsia="bg-BG"/>
        </w:rPr>
        <w:t xml:space="preserve"> е обособено и самостоятелно от гледна точка на конструкцията място, което по първоначално изграждане или след преустрояване е пригодено за живеене, състои се от едно или няколко помещения (жилищни или спомагателни) и има един или повече самостоятелни изхода на общодостъпна част (стълбище, двор или направо на улицата), независимо от това дали има изградена кухня.</w:t>
      </w:r>
    </w:p>
    <w:p w14:paraId="1CF5E0EA" w14:textId="77777777" w:rsidR="0001104C" w:rsidRPr="0001104C" w:rsidRDefault="0001104C" w:rsidP="0001104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Times New Roman" w:hAnsi="Verdana" w:cs="TimesNewRomanPSMT"/>
          <w:sz w:val="20"/>
          <w:szCs w:val="20"/>
          <w:lang w:eastAsia="bg-BG"/>
        </w:rPr>
      </w:pPr>
      <w:r w:rsidRPr="0001104C">
        <w:rPr>
          <w:rFonts w:ascii="Verdana" w:eastAsia="Times New Roman" w:hAnsi="Verdana" w:cs="TimesNewRomanPSMT"/>
          <w:b/>
          <w:bCs/>
          <w:sz w:val="20"/>
          <w:szCs w:val="20"/>
          <w:lang w:eastAsia="bg-BG"/>
        </w:rPr>
        <w:t>Жилищната площ</w:t>
      </w:r>
      <w:r w:rsidRPr="0001104C">
        <w:rPr>
          <w:rFonts w:ascii="Verdana" w:eastAsia="Times New Roman" w:hAnsi="Verdana" w:cs="TimesNewRomanPSMT"/>
          <w:sz w:val="20"/>
          <w:szCs w:val="20"/>
          <w:lang w:eastAsia="bg-BG"/>
        </w:rPr>
        <w:t xml:space="preserve"> включва стаите с площ над 4 кв. м, спалните, детските стаи, нишите за спане, трапезариите, стаите за дневно престояване, работните кабинети и библиотеки на научни работници, гостните, холовете и кухните с площ 4 и повече квадратни метри.</w:t>
      </w:r>
    </w:p>
    <w:p w14:paraId="1FC22024" w14:textId="77777777" w:rsidR="0001104C" w:rsidRPr="0001104C" w:rsidRDefault="0001104C" w:rsidP="0001104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Times New Roman" w:hAnsi="Verdana" w:cs="TimesNewRomanPSMT"/>
          <w:sz w:val="20"/>
          <w:szCs w:val="20"/>
          <w:lang w:eastAsia="bg-BG"/>
        </w:rPr>
      </w:pPr>
      <w:r w:rsidRPr="0001104C">
        <w:rPr>
          <w:rFonts w:ascii="Verdana" w:eastAsia="Times New Roman" w:hAnsi="Verdana" w:cs="TimesNewRomanPSMT"/>
          <w:sz w:val="20"/>
          <w:szCs w:val="20"/>
          <w:lang w:eastAsia="bg-BG"/>
        </w:rPr>
        <w:t xml:space="preserve">От началото на 2025 г. като източник на информация за </w:t>
      </w:r>
      <w:r w:rsidRPr="0001104C">
        <w:rPr>
          <w:rFonts w:ascii="Verdana" w:eastAsia="Times New Roman" w:hAnsi="Verdana" w:cs="TimesNewRomanPSMT"/>
          <w:bCs/>
          <w:sz w:val="20"/>
          <w:szCs w:val="20"/>
          <w:lang w:eastAsia="bg-BG"/>
        </w:rPr>
        <w:t>полезната площ</w:t>
      </w:r>
      <w:r w:rsidRPr="0001104C">
        <w:rPr>
          <w:rFonts w:ascii="Verdana" w:eastAsia="Times New Roman" w:hAnsi="Verdana" w:cs="TimesNewRomanPSMT"/>
          <w:sz w:val="20"/>
          <w:szCs w:val="20"/>
          <w:lang w:eastAsia="bg-BG"/>
        </w:rPr>
        <w:t>, служи общата площ на жилищата в сградата.</w:t>
      </w:r>
    </w:p>
    <w:p w14:paraId="7557C237" w14:textId="77777777" w:rsidR="0001104C" w:rsidRPr="0001104C" w:rsidRDefault="0001104C" w:rsidP="0001104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Times New Roman" w:hAnsi="Verdana" w:cs="TimesNewRomanPSMT"/>
          <w:sz w:val="20"/>
          <w:szCs w:val="20"/>
          <w:lang w:eastAsia="bg-BG"/>
        </w:rPr>
      </w:pPr>
      <w:r w:rsidRPr="0001104C">
        <w:rPr>
          <w:rFonts w:ascii="Verdana" w:eastAsia="Times New Roman" w:hAnsi="Verdana" w:cs="TimesNewRomanPSMT"/>
          <w:b/>
          <w:sz w:val="20"/>
          <w:szCs w:val="20"/>
          <w:lang w:eastAsia="bg-BG"/>
        </w:rPr>
        <w:t>Жилищната площ на човек от населението</w:t>
      </w:r>
      <w:r w:rsidRPr="0001104C">
        <w:rPr>
          <w:rFonts w:ascii="Verdana" w:eastAsia="Times New Roman" w:hAnsi="Verdana" w:cs="TimesNewRomanPSMT"/>
          <w:sz w:val="20"/>
          <w:szCs w:val="20"/>
          <w:lang w:eastAsia="bg-BG"/>
        </w:rPr>
        <w:t xml:space="preserve"> е изчислена към броя на населението в края на годината.</w:t>
      </w:r>
    </w:p>
    <w:p w14:paraId="42C2C093" w14:textId="77777777" w:rsidR="0001104C" w:rsidRPr="0001104C" w:rsidRDefault="0001104C" w:rsidP="0001104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Times New Roman" w:hAnsi="Verdana" w:cs="TimesNewRomanPSMT"/>
          <w:sz w:val="20"/>
          <w:szCs w:val="20"/>
          <w:lang w:eastAsia="bg-BG"/>
        </w:rPr>
      </w:pPr>
      <w:r w:rsidRPr="0001104C">
        <w:rPr>
          <w:rFonts w:ascii="Verdana" w:eastAsia="Times New Roman" w:hAnsi="Verdana" w:cs="TimesNewRomanPSMT"/>
          <w:sz w:val="20"/>
          <w:szCs w:val="20"/>
          <w:lang w:eastAsia="bg-BG"/>
        </w:rPr>
        <w:t>Данните за жилищните сгради и жилищата в тях са получени на база административно-териториалното деление на страната към 31.12. на всяка година.</w:t>
      </w:r>
    </w:p>
    <w:p w14:paraId="4462A656" w14:textId="77777777" w:rsidR="0001104C" w:rsidRPr="0001104C" w:rsidRDefault="0001104C" w:rsidP="0001104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01104C">
        <w:rPr>
          <w:rFonts w:ascii="Verdana" w:eastAsia="Times New Roman" w:hAnsi="Verdana" w:cs="TimesNewRomanPSMT"/>
          <w:sz w:val="20"/>
          <w:szCs w:val="20"/>
          <w:lang w:eastAsia="bg-BG"/>
        </w:rPr>
        <w:t>Повече информация и данни за жилищния фонд, могат да бъдат намерени на сайта на НСИ, раздел Жилищен фонд (</w:t>
      </w:r>
      <w:hyperlink r:id="rId8" w:history="1">
        <w:r w:rsidRPr="0001104C">
          <w:rPr>
            <w:rFonts w:ascii="Verdana" w:eastAsia="Times New Roman" w:hAnsi="Verdana" w:cs="TimesNewRomanPSMT"/>
            <w:color w:val="0563C1"/>
            <w:sz w:val="20"/>
            <w:szCs w:val="20"/>
            <w:u w:val="single"/>
            <w:lang w:eastAsia="bg-BG"/>
          </w:rPr>
          <w:t>http://www.nsi.bg/node/3087/</w:t>
        </w:r>
      </w:hyperlink>
      <w:r w:rsidRPr="0001104C">
        <w:rPr>
          <w:rFonts w:ascii="Verdana" w:eastAsia="Times New Roman" w:hAnsi="Verdana" w:cs="TimesNewRomanPSMT"/>
          <w:sz w:val="20"/>
          <w:szCs w:val="20"/>
          <w:lang w:eastAsia="bg-BG"/>
        </w:rPr>
        <w:t>), както и в ИС „</w:t>
      </w:r>
      <w:proofErr w:type="spellStart"/>
      <w:r w:rsidRPr="0001104C">
        <w:rPr>
          <w:rFonts w:ascii="Verdana" w:eastAsia="Times New Roman" w:hAnsi="Verdana" w:cs="TimesNewRomanPSMT"/>
          <w:sz w:val="20"/>
          <w:szCs w:val="20"/>
          <w:lang w:eastAsia="bg-BG"/>
        </w:rPr>
        <w:t>Инфостат</w:t>
      </w:r>
      <w:proofErr w:type="spellEnd"/>
      <w:r w:rsidRPr="0001104C">
        <w:rPr>
          <w:rFonts w:ascii="Verdana" w:eastAsia="Times New Roman" w:hAnsi="Verdana" w:cs="TimesNewRomanPSMT"/>
          <w:sz w:val="20"/>
          <w:szCs w:val="20"/>
          <w:lang w:eastAsia="bg-BG"/>
        </w:rPr>
        <w:t>“.</w:t>
      </w:r>
    </w:p>
    <w:p w14:paraId="17941067" w14:textId="77777777" w:rsidR="00D83F28" w:rsidRPr="005D6319" w:rsidRDefault="00D83F28" w:rsidP="005D6319"/>
    <w:sectPr w:rsidR="00D83F28" w:rsidRPr="005D6319" w:rsidSect="0013272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701" w:header="567" w:footer="2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3259A" w14:textId="77777777" w:rsidR="00B5674B" w:rsidRDefault="00B5674B" w:rsidP="00D83F28">
      <w:pPr>
        <w:spacing w:after="0" w:line="240" w:lineRule="auto"/>
      </w:pPr>
      <w:r>
        <w:separator/>
      </w:r>
    </w:p>
  </w:endnote>
  <w:endnote w:type="continuationSeparator" w:id="0">
    <w:p w14:paraId="27BE2416" w14:textId="77777777" w:rsidR="00B5674B" w:rsidRDefault="00B5674B" w:rsidP="00D8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t???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C4926" w14:textId="77777777" w:rsidR="002D2BF7" w:rsidRDefault="00132728" w:rsidP="002D2BF7">
    <w:pPr>
      <w:pStyle w:val="Footer"/>
      <w:spacing w:before="120"/>
      <w:jc w:val="center"/>
      <w:rPr>
        <w:rFonts w:ascii="Verdana" w:hAnsi="Verdana"/>
        <w:color w:val="31312F"/>
        <w:sz w:val="16"/>
        <w:szCs w:val="16"/>
      </w:rPr>
    </w:pPr>
    <w:r w:rsidRPr="00A7142A">
      <w:rPr>
        <w:rFonts w:ascii="Verdana" w:hAnsi="Verdana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CA342B1" wp14:editId="4E426E12">
              <wp:simplePos x="0" y="0"/>
              <wp:positionH relativeFrom="margin">
                <wp:align>center</wp:align>
              </wp:positionH>
              <wp:positionV relativeFrom="paragraph">
                <wp:posOffset>23171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E0E2B9" id="Graphic 8" o:spid="_x0000_s1026" style="position:absolute;margin-left:0;margin-top:1.8pt;width:477.7pt;height:.1pt;z-index:-25165107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="00D83F28"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85866C" wp14:editId="4E82CDED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BA4F8" w14:textId="0F91E335" w:rsidR="00D83F28" w:rsidRPr="00DD11CB" w:rsidRDefault="00D83F28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F5B40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85866C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6" type="#_x0000_t176" style="position:absolute;left:0;text-align:left;margin-left:463.1pt;margin-top:1.05pt;width:34.5pt;height:34.7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14:paraId="6ACBA4F8" w14:textId="0F91E335" w:rsidR="00D83F28" w:rsidRPr="00DD11CB" w:rsidRDefault="00D83F28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4F5B40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83F28"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22DE22" wp14:editId="53B07A71">
              <wp:simplePos x="0" y="0"/>
              <wp:positionH relativeFrom="column">
                <wp:posOffset>5977890</wp:posOffset>
              </wp:positionH>
              <wp:positionV relativeFrom="paragraph">
                <wp:posOffset>-5081</wp:posOffset>
              </wp:positionV>
              <wp:extent cx="285750" cy="12477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26F460" id="Rectangle 7" o:spid="_x0000_s1026" style="position:absolute;margin-left:470.7pt;margin-top:-.4pt;width:22.5pt;height:98.2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" fillcolor="#a5a5a5 [3206]" stroked="f" strokeweight="1pt"/>
          </w:pict>
        </mc:Fallback>
      </mc:AlternateContent>
    </w:r>
    <w:r w:rsidR="002D2BF7" w:rsidRPr="00191663">
      <w:rPr>
        <w:rFonts w:ascii="Verdana" w:hAnsi="Verdana"/>
        <w:color w:val="31312F"/>
        <w:sz w:val="16"/>
        <w:szCs w:val="16"/>
      </w:rPr>
      <w:t xml:space="preserve">9027 Варна, </w:t>
    </w:r>
    <w:proofErr w:type="spellStart"/>
    <w:r w:rsidR="002D2BF7" w:rsidRPr="00191663">
      <w:rPr>
        <w:rFonts w:ascii="Verdana" w:hAnsi="Verdana"/>
        <w:color w:val="31312F"/>
        <w:sz w:val="16"/>
        <w:szCs w:val="16"/>
      </w:rPr>
      <w:t>бул</w:t>
    </w:r>
    <w:proofErr w:type="spellEnd"/>
    <w:r w:rsidR="002D2BF7" w:rsidRPr="00191663">
      <w:rPr>
        <w:rFonts w:ascii="Verdana" w:hAnsi="Verdana"/>
        <w:color w:val="31312F"/>
        <w:sz w:val="16"/>
        <w:szCs w:val="16"/>
      </w:rPr>
      <w:t>. „</w:t>
    </w:r>
    <w:proofErr w:type="spellStart"/>
    <w:r w:rsidR="002D2BF7" w:rsidRPr="00191663">
      <w:rPr>
        <w:rFonts w:ascii="Verdana" w:hAnsi="Verdana"/>
        <w:color w:val="31312F"/>
        <w:sz w:val="16"/>
        <w:szCs w:val="16"/>
      </w:rPr>
      <w:t>Сливница</w:t>
    </w:r>
    <w:proofErr w:type="spellEnd"/>
    <w:proofErr w:type="gramStart"/>
    <w:r w:rsidR="002D2BF7" w:rsidRPr="00191663">
      <w:rPr>
        <w:rFonts w:ascii="Verdana" w:hAnsi="Verdana"/>
        <w:color w:val="31312F"/>
        <w:sz w:val="16"/>
        <w:szCs w:val="16"/>
      </w:rPr>
      <w:t>“ №</w:t>
    </w:r>
    <w:proofErr w:type="gramEnd"/>
    <w:r w:rsidR="002D2BF7" w:rsidRPr="00191663">
      <w:rPr>
        <w:rFonts w:ascii="Verdana" w:hAnsi="Verdana"/>
        <w:color w:val="31312F"/>
        <w:sz w:val="16"/>
        <w:szCs w:val="16"/>
      </w:rPr>
      <w:t xml:space="preserve"> 191, </w:t>
    </w:r>
    <w:proofErr w:type="spellStart"/>
    <w:r w:rsidR="002D2BF7" w:rsidRPr="00191663">
      <w:rPr>
        <w:rFonts w:ascii="Verdana" w:hAnsi="Verdana"/>
        <w:color w:val="31312F"/>
        <w:sz w:val="16"/>
        <w:szCs w:val="16"/>
      </w:rPr>
      <w:t>тел</w:t>
    </w:r>
    <w:proofErr w:type="spellEnd"/>
    <w:r w:rsidR="002D2BF7" w:rsidRPr="00191663">
      <w:rPr>
        <w:rFonts w:ascii="Verdana" w:hAnsi="Verdana"/>
        <w:color w:val="31312F"/>
        <w:sz w:val="16"/>
        <w:szCs w:val="16"/>
      </w:rPr>
      <w:t>.</w:t>
    </w:r>
    <w:r w:rsidR="002D2BF7">
      <w:rPr>
        <w:rFonts w:ascii="Verdana" w:hAnsi="Verdana"/>
        <w:color w:val="31312F"/>
        <w:sz w:val="16"/>
        <w:szCs w:val="16"/>
      </w:rPr>
      <w:t xml:space="preserve"> +359 52 575222, e-mail: PKazakova</w:t>
    </w:r>
    <w:r w:rsidR="002D2BF7" w:rsidRPr="00191663">
      <w:rPr>
        <w:rFonts w:ascii="Verdana" w:hAnsi="Verdana"/>
        <w:color w:val="31312F"/>
        <w:sz w:val="16"/>
        <w:szCs w:val="16"/>
      </w:rPr>
      <w:t>@nsi.bg</w:t>
    </w:r>
  </w:p>
  <w:p w14:paraId="180EED6E" w14:textId="77777777" w:rsidR="0001104C" w:rsidRPr="0001104C" w:rsidRDefault="0001104C" w:rsidP="0001104C">
    <w:pPr>
      <w:tabs>
        <w:tab w:val="center" w:pos="4536"/>
        <w:tab w:val="right" w:pos="9072"/>
      </w:tabs>
      <w:spacing w:after="0" w:line="360" w:lineRule="auto"/>
      <w:jc w:val="center"/>
    </w:pPr>
    <w:r w:rsidRPr="0001104C">
      <w:rPr>
        <w:rFonts w:ascii="Verdana" w:hAnsi="Verdana"/>
        <w:color w:val="31312F"/>
        <w:sz w:val="16"/>
        <w:szCs w:val="16"/>
      </w:rPr>
      <w:t>9300 Добрич, пл. „Свобода“ № 5, тел. +359 58 655312, e-</w:t>
    </w:r>
    <w:proofErr w:type="spellStart"/>
    <w:r w:rsidRPr="0001104C">
      <w:rPr>
        <w:rFonts w:ascii="Verdana" w:hAnsi="Verdana"/>
        <w:color w:val="31312F"/>
        <w:sz w:val="16"/>
        <w:szCs w:val="16"/>
      </w:rPr>
      <w:t>mail</w:t>
    </w:r>
    <w:proofErr w:type="spellEnd"/>
    <w:r w:rsidRPr="0001104C">
      <w:rPr>
        <w:rFonts w:ascii="Verdana" w:hAnsi="Verdana"/>
        <w:color w:val="31312F"/>
        <w:sz w:val="16"/>
        <w:szCs w:val="16"/>
      </w:rPr>
      <w:t>: ZPopcheva@nsi.bg</w:t>
    </w:r>
  </w:p>
  <w:p w14:paraId="0FB75867" w14:textId="77777777" w:rsidR="00D83F28" w:rsidRDefault="00D83F28" w:rsidP="0001104C">
    <w:pPr>
      <w:pStyle w:val="Footer"/>
      <w:spacing w:line="36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0CAF8" w14:textId="77777777" w:rsidR="00D83F28" w:rsidRDefault="00D83F28" w:rsidP="00D83F28">
    <w:pPr>
      <w:pStyle w:val="Footer"/>
      <w:tabs>
        <w:tab w:val="clear" w:pos="4536"/>
        <w:tab w:val="clear" w:pos="9072"/>
      </w:tabs>
    </w:pP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6A74D62" wp14:editId="1B508A3C">
              <wp:simplePos x="0" y="0"/>
              <wp:positionH relativeFrom="rightMargin">
                <wp:posOffset>62534</wp:posOffset>
              </wp:positionH>
              <wp:positionV relativeFrom="paragraph">
                <wp:posOffset>27940</wp:posOffset>
              </wp:positionV>
              <wp:extent cx="438150" cy="441325"/>
              <wp:effectExtent l="0" t="0" r="0" b="0"/>
              <wp:wrapNone/>
              <wp:docPr id="29" name="Flowchart: Alternate Process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8C33B" w14:textId="10034D77" w:rsidR="00D83F28" w:rsidRPr="00DD11CB" w:rsidRDefault="00D83F28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F5B40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A74D62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28" type="#_x0000_t176" style="position:absolute;margin-left:4.9pt;margin-top:2.2pt;width:34.5pt;height:34.75pt;z-index:25167155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" filled="f" fillcolor="#5c83b4" stroked="f" strokecolor="#737373">
              <v:textbox>
                <w:txbxContent>
                  <w:p w14:paraId="5368C33B" w14:textId="10034D77" w:rsidR="00D83F28" w:rsidRPr="00DD11CB" w:rsidRDefault="00D83F28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4F5B40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BD3ED45" wp14:editId="0C42693B">
              <wp:simplePos x="0" y="0"/>
              <wp:positionH relativeFrom="margin">
                <wp:posOffset>5911850</wp:posOffset>
              </wp:positionH>
              <wp:positionV relativeFrom="paragraph">
                <wp:posOffset>0</wp:posOffset>
              </wp:positionV>
              <wp:extent cx="285750" cy="1247775"/>
              <wp:effectExtent l="0" t="0" r="0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933CDB" id="Rectangle 28" o:spid="_x0000_s1026" style="position:absolute;margin-left:465.5pt;margin-top:0;width:22.5pt;height:98.25pt;z-index:-2516469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" fillcolor="#a5a5a5 [3206]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D34F4" w14:textId="77777777" w:rsidR="00B5674B" w:rsidRDefault="00B5674B" w:rsidP="00D83F28">
      <w:pPr>
        <w:spacing w:after="0" w:line="240" w:lineRule="auto"/>
      </w:pPr>
      <w:r>
        <w:separator/>
      </w:r>
    </w:p>
  </w:footnote>
  <w:footnote w:type="continuationSeparator" w:id="0">
    <w:p w14:paraId="28FD5964" w14:textId="77777777" w:rsidR="00B5674B" w:rsidRDefault="00B5674B" w:rsidP="00D8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8CFB7" w14:textId="77777777" w:rsidR="000911B5" w:rsidRPr="000911B5" w:rsidRDefault="000911B5" w:rsidP="0076587E">
    <w:pPr>
      <w:spacing w:before="160" w:line="360" w:lineRule="auto"/>
      <w:jc w:val="center"/>
      <w:rPr>
        <w:rFonts w:ascii="Verdana" w:hAnsi="Verdana"/>
        <w:b/>
        <w:caps/>
        <w:sz w:val="20"/>
      </w:rPr>
    </w:pPr>
    <w:r w:rsidRPr="000911B5">
      <w:rPr>
        <w:rFonts w:ascii="Verdana" w:hAnsi="Verdana"/>
        <w:b/>
        <w:caps/>
        <w:sz w:val="20"/>
      </w:rPr>
      <w:t xml:space="preserve"> Жилищен фонд в област </w:t>
    </w:r>
    <w:r w:rsidR="0001104C">
      <w:rPr>
        <w:rFonts w:ascii="Verdana" w:hAnsi="Verdana"/>
        <w:b/>
        <w:caps/>
        <w:sz w:val="20"/>
      </w:rPr>
      <w:t>добрич</w:t>
    </w:r>
    <w:r w:rsidRPr="000911B5">
      <w:rPr>
        <w:rFonts w:ascii="Verdana" w:hAnsi="Verdana"/>
        <w:b/>
        <w:caps/>
        <w:sz w:val="20"/>
      </w:rPr>
      <w:t xml:space="preserve"> към 31.12.2024 година</w:t>
    </w:r>
  </w:p>
  <w:p w14:paraId="4A757499" w14:textId="77777777" w:rsidR="00D83F28" w:rsidRPr="00F76D42" w:rsidRDefault="0076587E" w:rsidP="00D83F28">
    <w:pPr>
      <w:spacing w:after="240"/>
      <w:jc w:val="center"/>
    </w:pPr>
    <w:r w:rsidRPr="00DD11CB">
      <w:rPr>
        <w:rFonts w:ascii="Verdana" w:hAnsi="Verdana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61423F3A" wp14:editId="458078B3">
              <wp:simplePos x="0" y="0"/>
              <wp:positionH relativeFrom="margin">
                <wp:align>left</wp:align>
              </wp:positionH>
              <wp:positionV relativeFrom="paragraph">
                <wp:posOffset>217377</wp:posOffset>
              </wp:positionV>
              <wp:extent cx="6066790" cy="1270"/>
              <wp:effectExtent l="0" t="0" r="10160" b="17780"/>
              <wp:wrapTopAndBottom/>
              <wp:docPr id="4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1C1DB5" id="Graphic 7" o:spid="_x0000_s1026" style="position:absolute;margin-left:0;margin-top:17.1pt;width:477.7pt;height:.1pt;z-index:-25164288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673AB" w14:textId="77777777" w:rsidR="00D83F28" w:rsidRPr="00D83F28" w:rsidRDefault="00F76D42" w:rsidP="00D83F28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1312" behindDoc="0" locked="0" layoutInCell="1" allowOverlap="1" wp14:anchorId="345634D1" wp14:editId="6A3501C0">
          <wp:simplePos x="0" y="0"/>
          <wp:positionH relativeFrom="margin">
            <wp:align>right</wp:align>
          </wp:positionH>
          <wp:positionV relativeFrom="topMargin">
            <wp:posOffset>392154</wp:posOffset>
          </wp:positionV>
          <wp:extent cx="816610" cy="824230"/>
          <wp:effectExtent l="0" t="0" r="2540" b="0"/>
          <wp:wrapSquare wrapText="bothSides"/>
          <wp:docPr id="26" name="Pictur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E911C10" wp14:editId="6FEE4835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4F4BC6" w14:textId="77777777" w:rsidR="00D83F28" w:rsidRDefault="00D83F28" w:rsidP="00D60CD2">
                          <w:pPr>
                            <w:spacing w:after="0"/>
                            <w:rPr>
                              <w:rFonts w:ascii="Helen Bg Cond" w:hAnsi="Helen Bg Cond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14:paraId="151AF58D" w14:textId="77777777" w:rsidR="00D83F28" w:rsidRPr="00D83F28" w:rsidRDefault="00D83F28" w:rsidP="00D83F28">
                          <w:pPr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14:paraId="464AD732" w14:textId="77777777" w:rsidR="00D83F28" w:rsidRPr="00FD731D" w:rsidRDefault="00D83F28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03E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9pt;margin-top:17.5pt;width:286.1pt;height:4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D83F28" w:rsidRDefault="00D83F28" w:rsidP="00D60CD2">
                    <w:pPr>
                      <w:spacing w:after="0"/>
                      <w:rPr>
                        <w:rFonts w:ascii="Helen Bg Cond" w:hAnsi="Helen Bg Cond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D83F28" w:rsidP="00D83F28">
                    <w:pPr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D83F28" w:rsidRPr="00FD731D" w:rsidRDefault="00D83F28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551483" wp14:editId="1200B7CA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8ACA6C" id="Graphic 7" o:spid="_x0000_s1026" style="position:absolute;margin-left:0;margin-top:72.9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0977DD3" wp14:editId="0EC2DF66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EA5FE" id="Graphic 1" o:spid="_x0000_s1026" style="position:absolute;margin-left:49.15pt;margin-top:14.7pt;width:.4pt;height:4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Pr="00670E25">
      <w:rPr>
        <w:rFonts w:ascii="Viol" w:hAnsi="Viol"/>
        <w:noProof/>
        <w:lang w:eastAsia="bg-BG"/>
      </w:rPr>
      <w:drawing>
        <wp:anchor distT="0" distB="0" distL="0" distR="0" simplePos="0" relativeHeight="251660288" behindDoc="0" locked="0" layoutInCell="1" allowOverlap="1" wp14:anchorId="6500F411" wp14:editId="70A009DD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28"/>
    <w:rsid w:val="0001104C"/>
    <w:rsid w:val="00030B44"/>
    <w:rsid w:val="00070798"/>
    <w:rsid w:val="000911B5"/>
    <w:rsid w:val="000C4305"/>
    <w:rsid w:val="00126FE5"/>
    <w:rsid w:val="00132728"/>
    <w:rsid w:val="00235851"/>
    <w:rsid w:val="00266E6D"/>
    <w:rsid w:val="002C3261"/>
    <w:rsid w:val="002D2BF7"/>
    <w:rsid w:val="002F6F34"/>
    <w:rsid w:val="00306486"/>
    <w:rsid w:val="00381544"/>
    <w:rsid w:val="00391A50"/>
    <w:rsid w:val="003E109A"/>
    <w:rsid w:val="003E75E1"/>
    <w:rsid w:val="00440858"/>
    <w:rsid w:val="0046478A"/>
    <w:rsid w:val="00480B17"/>
    <w:rsid w:val="0048234C"/>
    <w:rsid w:val="004C69EB"/>
    <w:rsid w:val="004D7226"/>
    <w:rsid w:val="004F5B40"/>
    <w:rsid w:val="00500A6A"/>
    <w:rsid w:val="005044B9"/>
    <w:rsid w:val="00532029"/>
    <w:rsid w:val="00583908"/>
    <w:rsid w:val="005C0C2F"/>
    <w:rsid w:val="005D6319"/>
    <w:rsid w:val="00606EBA"/>
    <w:rsid w:val="00643044"/>
    <w:rsid w:val="00666E39"/>
    <w:rsid w:val="006A4C8F"/>
    <w:rsid w:val="006B1D9F"/>
    <w:rsid w:val="006F6EA7"/>
    <w:rsid w:val="00723B5D"/>
    <w:rsid w:val="00746B75"/>
    <w:rsid w:val="0076587E"/>
    <w:rsid w:val="007821D2"/>
    <w:rsid w:val="007C7EB0"/>
    <w:rsid w:val="008A0C51"/>
    <w:rsid w:val="008C3DFA"/>
    <w:rsid w:val="008D4876"/>
    <w:rsid w:val="008E6CB5"/>
    <w:rsid w:val="009317F8"/>
    <w:rsid w:val="009757F5"/>
    <w:rsid w:val="009C18DC"/>
    <w:rsid w:val="009D796D"/>
    <w:rsid w:val="00A25F1D"/>
    <w:rsid w:val="00A363A3"/>
    <w:rsid w:val="00A567DE"/>
    <w:rsid w:val="00B35062"/>
    <w:rsid w:val="00B5674B"/>
    <w:rsid w:val="00B56F73"/>
    <w:rsid w:val="00BB645B"/>
    <w:rsid w:val="00C928ED"/>
    <w:rsid w:val="00CF23A2"/>
    <w:rsid w:val="00D108B0"/>
    <w:rsid w:val="00D17155"/>
    <w:rsid w:val="00D4793F"/>
    <w:rsid w:val="00D60CD2"/>
    <w:rsid w:val="00D75617"/>
    <w:rsid w:val="00D83F28"/>
    <w:rsid w:val="00DD2B0A"/>
    <w:rsid w:val="00EE2BB4"/>
    <w:rsid w:val="00EF4FC0"/>
    <w:rsid w:val="00F5066D"/>
    <w:rsid w:val="00F76D42"/>
    <w:rsid w:val="00F86FF3"/>
    <w:rsid w:val="00FF3BA0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79E00D"/>
  <w15:chartTrackingRefBased/>
  <w15:docId w15:val="{9E07E5B6-A708-401D-92EA-F96A953E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3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83F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83F2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D83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83F2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5D631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DE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6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EA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EA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i.bg/node/308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\Desktop\&#1043;&#1088;&#1072;&#1092;&#1080;&#1082;&#1072;_&#1078;&#1080;&#1083;&#1080;&#1097;&#1077;&#1085;_&#1092;&#1086;&#1085;&#1076;_202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683307332293288E-2"/>
          <c:y val="0.11692325258902132"/>
          <c:w val="0.8705148205928237"/>
          <c:h val="0.69576655859194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'фиг. 1'!$A$7</c:f>
              <c:strCache>
                <c:ptCount val="1"/>
                <c:pt idx="0">
                  <c:v>Общо</c:v>
                </c:pt>
              </c:strCache>
            </c:strRef>
          </c:tx>
          <c:spPr>
            <a:solidFill>
              <a:schemeClr val="accent1"/>
            </a:solidFill>
            <a:ln w="25400">
              <a:noFill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4C8-483C-AF00-724F53930AA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4C8-483C-AF00-724F53930AA2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34C8-483C-AF00-724F53930AA2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4C8-483C-AF00-724F53930AA2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4C8-483C-AF00-724F53930AA2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34C8-483C-AF00-724F53930AA2}"/>
              </c:ext>
            </c:extLst>
          </c:dPt>
          <c:cat>
            <c:strRef>
              <c:f>'фиг. 1'!$B$5:$G$6</c:f>
              <c:strCache>
                <c:ptCount val="6"/>
                <c:pt idx="0">
                  <c:v>едностайни</c:v>
                </c:pt>
                <c:pt idx="1">
                  <c:v>двустайни</c:v>
                </c:pt>
                <c:pt idx="2">
                  <c:v>тристайни</c:v>
                </c:pt>
                <c:pt idx="3">
                  <c:v>четиристайни</c:v>
                </c:pt>
                <c:pt idx="4">
                  <c:v>петстайни</c:v>
                </c:pt>
                <c:pt idx="5">
                  <c:v>шест и повече стаи</c:v>
                </c:pt>
              </c:strCache>
            </c:strRef>
          </c:cat>
          <c:val>
            <c:numRef>
              <c:f>'фиг. 1'!$B$7:$G$7</c:f>
              <c:numCache>
                <c:formatCode>General</c:formatCode>
                <c:ptCount val="6"/>
                <c:pt idx="0">
                  <c:v>6717</c:v>
                </c:pt>
                <c:pt idx="1">
                  <c:v>30324</c:v>
                </c:pt>
                <c:pt idx="2">
                  <c:v>40029</c:v>
                </c:pt>
                <c:pt idx="3">
                  <c:v>19134</c:v>
                </c:pt>
                <c:pt idx="4">
                  <c:v>4560</c:v>
                </c:pt>
                <c:pt idx="5">
                  <c:v>3366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4C8-483C-AF00-724F53930AA2}"/>
            </c:ext>
          </c:extLst>
        </c:ser>
        <c:ser>
          <c:idx val="1"/>
          <c:order val="1"/>
          <c:tx>
            <c:strRef>
              <c:f>'фиг. 1'!$A$8</c:f>
              <c:strCache>
                <c:ptCount val="1"/>
                <c:pt idx="0">
                  <c:v>В градовете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 w="25400">
              <a:noFill/>
            </a:ln>
          </c:spPr>
          <c:invertIfNegative val="0"/>
          <c:cat>
            <c:strRef>
              <c:f>'фиг. 1'!$B$5:$G$6</c:f>
              <c:strCache>
                <c:ptCount val="6"/>
                <c:pt idx="0">
                  <c:v>едностайни</c:v>
                </c:pt>
                <c:pt idx="1">
                  <c:v>двустайни</c:v>
                </c:pt>
                <c:pt idx="2">
                  <c:v>тристайни</c:v>
                </c:pt>
                <c:pt idx="3">
                  <c:v>четиристайни</c:v>
                </c:pt>
                <c:pt idx="4">
                  <c:v>петстайни</c:v>
                </c:pt>
                <c:pt idx="5">
                  <c:v>шест и повече стаи</c:v>
                </c:pt>
              </c:strCache>
            </c:strRef>
          </c:cat>
          <c:val>
            <c:numRef>
              <c:f>'фиг. 1'!$B$8:$G$8</c:f>
              <c:numCache>
                <c:formatCode>General</c:formatCode>
                <c:ptCount val="6"/>
                <c:pt idx="0">
                  <c:v>5148</c:v>
                </c:pt>
                <c:pt idx="1">
                  <c:v>22221</c:v>
                </c:pt>
                <c:pt idx="2">
                  <c:v>21803</c:v>
                </c:pt>
                <c:pt idx="3">
                  <c:v>11110</c:v>
                </c:pt>
                <c:pt idx="4">
                  <c:v>2269</c:v>
                </c:pt>
                <c:pt idx="5">
                  <c:v>1737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4C8-483C-AF00-724F53930AA2}"/>
            </c:ext>
          </c:extLst>
        </c:ser>
        <c:ser>
          <c:idx val="2"/>
          <c:order val="2"/>
          <c:tx>
            <c:strRef>
              <c:f>'фиг. 1'!$A$9</c:f>
              <c:strCache>
                <c:ptCount val="1"/>
                <c:pt idx="0">
                  <c:v>В селата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 w="25400">
              <a:noFill/>
            </a:ln>
          </c:spPr>
          <c:invertIfNegative val="0"/>
          <c:cat>
            <c:strRef>
              <c:f>'фиг. 1'!$B$5:$G$6</c:f>
              <c:strCache>
                <c:ptCount val="6"/>
                <c:pt idx="0">
                  <c:v>едностайни</c:v>
                </c:pt>
                <c:pt idx="1">
                  <c:v>двустайни</c:v>
                </c:pt>
                <c:pt idx="2">
                  <c:v>тристайни</c:v>
                </c:pt>
                <c:pt idx="3">
                  <c:v>четиристайни</c:v>
                </c:pt>
                <c:pt idx="4">
                  <c:v>петстайни</c:v>
                </c:pt>
                <c:pt idx="5">
                  <c:v>шест и повече стаи</c:v>
                </c:pt>
              </c:strCache>
            </c:strRef>
          </c:cat>
          <c:val>
            <c:numRef>
              <c:f>'фиг. 1'!$B$9:$G$9</c:f>
              <c:numCache>
                <c:formatCode>General</c:formatCode>
                <c:ptCount val="6"/>
                <c:pt idx="0">
                  <c:v>1569</c:v>
                </c:pt>
                <c:pt idx="1">
                  <c:v>8103</c:v>
                </c:pt>
                <c:pt idx="2">
                  <c:v>18226</c:v>
                </c:pt>
                <c:pt idx="3">
                  <c:v>8024</c:v>
                </c:pt>
                <c:pt idx="4">
                  <c:v>2291</c:v>
                </c:pt>
                <c:pt idx="5">
                  <c:v>1629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4C8-483C-AF00-724F53930A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3758655"/>
        <c:axId val="1"/>
      </c:barChart>
      <c:catAx>
        <c:axId val="201375865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chemeClr val="bg2">
                    <a:lumMod val="2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/>
              </a:defRPr>
            </a:pPr>
            <a:endParaRPr lang="bg-BG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chemeClr val="bg2">
                  <a:lumMod val="90000"/>
                </a:schemeClr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chemeClr val="bg2">
                        <a:lumMod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/>
                  </a:defRPr>
                </a:pPr>
                <a:r>
                  <a:rPr lang="bg-BG" sz="800">
                    <a:solidFill>
                      <a:schemeClr val="bg2">
                        <a:lumMod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</a:rPr>
                  <a:t>Брой</a:t>
                </a:r>
              </a:p>
            </c:rich>
          </c:tx>
          <c:layout>
            <c:manualLayout>
              <c:xMode val="edge"/>
              <c:yMode val="edge"/>
              <c:x val="1.9654344733625852E-2"/>
              <c:y val="7.9877786174560993E-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chemeClr val="bg2">
                    <a:lumMod val="2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/>
              </a:defRPr>
            </a:pPr>
            <a:endParaRPr lang="bg-BG"/>
          </a:p>
        </c:txPr>
        <c:crossAx val="2013758655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17784712788764001"/>
          <c:y val="0.89191097242875594"/>
          <c:w val="0.55382212337961567"/>
          <c:h val="8.121563751899429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chemeClr val="bg2">
                  <a:lumMod val="25000"/>
                </a:schemeClr>
              </a:solidFill>
              <a:latin typeface="Verdana" panose="020B0604030504040204" pitchFamily="34" charset="0"/>
              <a:ea typeface="Verdana" panose="020B0604030504040204" pitchFamily="34" charset="0"/>
              <a:cs typeface="Times New Roman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15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bg-BG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B490F-836F-4D8A-8C3E-19D1AD17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 Atanasov</dc:creator>
  <cp:keywords/>
  <dc:description/>
  <cp:lastModifiedBy>Ilga Ivanova</cp:lastModifiedBy>
  <cp:revision>4</cp:revision>
  <cp:lastPrinted>2025-10-30T07:14:00Z</cp:lastPrinted>
  <dcterms:created xsi:type="dcterms:W3CDTF">2025-11-04T12:29:00Z</dcterms:created>
  <dcterms:modified xsi:type="dcterms:W3CDTF">2025-11-05T09:43:00Z</dcterms:modified>
</cp:coreProperties>
</file>