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D58" w:rsidRDefault="00454D58" w:rsidP="00A94966">
      <w:pPr>
        <w:autoSpaceDE/>
        <w:autoSpaceDN/>
        <w:spacing w:line="240" w:lineRule="auto"/>
        <w:ind w:left="3403" w:firstLine="708"/>
        <w:jc w:val="left"/>
        <w:rPr>
          <w:rFonts w:ascii="Times New Roman" w:hAnsi="Times New Roman"/>
          <w:b/>
          <w:sz w:val="24"/>
          <w:lang w:val="bg-BG"/>
        </w:rPr>
      </w:pPr>
    </w:p>
    <w:p w:rsidR="009425D3" w:rsidRDefault="009425D3" w:rsidP="00A94966">
      <w:pPr>
        <w:autoSpaceDE/>
        <w:autoSpaceDN/>
        <w:spacing w:line="240" w:lineRule="auto"/>
        <w:ind w:left="3403" w:firstLine="708"/>
        <w:jc w:val="left"/>
        <w:rPr>
          <w:rFonts w:ascii="Times New Roman" w:hAnsi="Times New Roman"/>
          <w:b/>
          <w:sz w:val="24"/>
          <w:lang w:val="bg-BG"/>
        </w:rPr>
      </w:pPr>
    </w:p>
    <w:p w:rsidR="009425D3" w:rsidRPr="006304E8" w:rsidRDefault="009425D3" w:rsidP="009425D3">
      <w:pPr>
        <w:autoSpaceDE/>
        <w:autoSpaceDN/>
        <w:spacing w:line="240" w:lineRule="auto"/>
        <w:ind w:firstLine="0"/>
        <w:contextualSpacing/>
        <w:jc w:val="center"/>
        <w:rPr>
          <w:rFonts w:ascii="Times New Roman" w:hAnsi="Times New Roman"/>
          <w:b/>
          <w:spacing w:val="-10"/>
          <w:kern w:val="28"/>
          <w:sz w:val="28"/>
          <w:szCs w:val="40"/>
          <w:lang w:val="bg-BG" w:eastAsia="en-US"/>
        </w:rPr>
      </w:pPr>
      <w:r w:rsidRPr="009425D3">
        <w:rPr>
          <w:rFonts w:ascii="Times New Roman" w:hAnsi="Times New Roman"/>
          <w:b/>
          <w:spacing w:val="-10"/>
          <w:kern w:val="28"/>
          <w:sz w:val="28"/>
          <w:szCs w:val="40"/>
          <w:lang w:val="bg-BG" w:eastAsia="en-US"/>
        </w:rPr>
        <w:t xml:space="preserve">Предложения на Фискалния съвет </w:t>
      </w:r>
    </w:p>
    <w:p w:rsidR="009425D3" w:rsidRPr="009425D3" w:rsidRDefault="009425D3" w:rsidP="009425D3">
      <w:pPr>
        <w:autoSpaceDE/>
        <w:autoSpaceDN/>
        <w:spacing w:line="240" w:lineRule="auto"/>
        <w:ind w:firstLine="0"/>
        <w:contextualSpacing/>
        <w:jc w:val="center"/>
        <w:rPr>
          <w:rFonts w:ascii="Times New Roman" w:hAnsi="Times New Roman"/>
          <w:b/>
          <w:spacing w:val="-10"/>
          <w:kern w:val="28"/>
          <w:sz w:val="24"/>
          <w:szCs w:val="40"/>
          <w:lang w:val="bg-BG" w:eastAsia="en-US"/>
        </w:rPr>
      </w:pPr>
      <w:r w:rsidRPr="009425D3">
        <w:rPr>
          <w:rFonts w:ascii="Times New Roman" w:hAnsi="Times New Roman"/>
          <w:b/>
          <w:spacing w:val="-10"/>
          <w:kern w:val="28"/>
          <w:sz w:val="28"/>
          <w:szCs w:val="40"/>
          <w:lang w:val="bg-BG" w:eastAsia="en-US"/>
        </w:rPr>
        <w:t>за оптимизиране на разходите за персонал в бюджетната сфера</w:t>
      </w:r>
    </w:p>
    <w:p w:rsidR="009425D3" w:rsidRPr="009425D3" w:rsidRDefault="009425D3" w:rsidP="009425D3">
      <w:pPr>
        <w:autoSpaceDE/>
        <w:autoSpaceDN/>
        <w:ind w:firstLine="0"/>
        <w:rPr>
          <w:rFonts w:ascii="Times New Roman" w:eastAsia="Calibri" w:hAnsi="Times New Roman"/>
          <w:sz w:val="24"/>
          <w:lang w:val="bg-BG" w:eastAsia="en-US"/>
        </w:rPr>
      </w:pPr>
    </w:p>
    <w:p w:rsidR="009425D3" w:rsidRPr="009425D3" w:rsidRDefault="009425D3" w:rsidP="00D250A8">
      <w:pPr>
        <w:autoSpaceDE/>
        <w:autoSpaceDN/>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t>Рекордното нарастване на разходите за персонал в държавния бюджет през последните две години се очертава като сериозен проблем и за Бюджет 2026. По този повод Фискалният съвет анализира структурата на разходите за персонал по сектори и предлага няколко възможности за опти</w:t>
      </w:r>
      <w:r>
        <w:rPr>
          <w:rFonts w:ascii="Times New Roman" w:eastAsia="Calibri" w:hAnsi="Times New Roman"/>
          <w:sz w:val="24"/>
          <w:lang w:val="bg-BG" w:eastAsia="en-US"/>
        </w:rPr>
        <w:t>ми</w:t>
      </w:r>
      <w:r w:rsidRPr="009425D3">
        <w:rPr>
          <w:rFonts w:ascii="Times New Roman" w:eastAsia="Calibri" w:hAnsi="Times New Roman"/>
          <w:sz w:val="24"/>
          <w:lang w:val="bg-BG" w:eastAsia="en-US"/>
        </w:rPr>
        <w:t>зирането им. Основните препоръки са следните:</w:t>
      </w:r>
    </w:p>
    <w:p w:rsidR="009425D3" w:rsidRPr="009425D3" w:rsidRDefault="009425D3" w:rsidP="00D250A8">
      <w:pPr>
        <w:numPr>
          <w:ilvl w:val="0"/>
          <w:numId w:val="11"/>
        </w:numPr>
        <w:autoSpaceDE/>
        <w:autoSpaceDN/>
        <w:spacing w:after="160"/>
        <w:contextualSpacing/>
        <w:rPr>
          <w:rFonts w:ascii="Times New Roman" w:eastAsia="Calibri" w:hAnsi="Times New Roman"/>
          <w:sz w:val="24"/>
          <w:lang w:val="bg-BG" w:eastAsia="en-US"/>
        </w:rPr>
      </w:pPr>
      <w:r w:rsidRPr="009425D3">
        <w:rPr>
          <w:rFonts w:ascii="Times New Roman" w:eastAsia="Calibri" w:hAnsi="Times New Roman"/>
          <w:b/>
          <w:bCs/>
          <w:sz w:val="24"/>
          <w:lang w:val="bg-BG" w:eastAsia="en-US"/>
        </w:rPr>
        <w:t>Намаляване на общинската администрация чрез сливане на общини</w:t>
      </w:r>
      <w:r w:rsidRPr="009425D3">
        <w:rPr>
          <w:rFonts w:ascii="Times New Roman" w:eastAsia="Calibri" w:hAnsi="Times New Roman"/>
          <w:sz w:val="24"/>
          <w:lang w:val="bg-BG" w:eastAsia="en-US"/>
        </w:rPr>
        <w:t xml:space="preserve"> – намаляващото население прави административната тежест за малките общини непосилна. На фона на демографския срив администрацията не само не намалява,  а дори се увеличава (достига 35 хил. д</w:t>
      </w:r>
      <w:r w:rsidR="00C55B90">
        <w:rPr>
          <w:rFonts w:ascii="Times New Roman" w:eastAsia="Calibri" w:hAnsi="Times New Roman"/>
          <w:sz w:val="24"/>
          <w:lang w:val="bg-BG" w:eastAsia="en-US"/>
        </w:rPr>
        <w:t>уши</w:t>
      </w:r>
      <w:r w:rsidRPr="009425D3">
        <w:rPr>
          <w:rFonts w:ascii="Times New Roman" w:eastAsia="Calibri" w:hAnsi="Times New Roman"/>
          <w:sz w:val="24"/>
          <w:lang w:val="bg-BG" w:eastAsia="en-US"/>
        </w:rPr>
        <w:t>).</w:t>
      </w:r>
    </w:p>
    <w:p w:rsidR="009425D3" w:rsidRPr="009425D3" w:rsidRDefault="009425D3" w:rsidP="00D250A8">
      <w:pPr>
        <w:numPr>
          <w:ilvl w:val="0"/>
          <w:numId w:val="11"/>
        </w:numPr>
        <w:autoSpaceDE/>
        <w:autoSpaceDN/>
        <w:spacing w:after="160"/>
        <w:contextualSpacing/>
        <w:rPr>
          <w:rFonts w:ascii="Times New Roman" w:eastAsia="Calibri" w:hAnsi="Times New Roman"/>
          <w:sz w:val="24"/>
          <w:lang w:val="bg-BG" w:eastAsia="en-US"/>
        </w:rPr>
      </w:pPr>
      <w:r w:rsidRPr="009425D3">
        <w:rPr>
          <w:rFonts w:ascii="Times New Roman" w:eastAsia="Calibri" w:hAnsi="Times New Roman"/>
          <w:b/>
          <w:bCs/>
          <w:sz w:val="24"/>
          <w:lang w:val="bg-BG" w:eastAsia="en-US"/>
        </w:rPr>
        <w:t>Оптимизация на броя на полицаите, който също расте при намаляващо население</w:t>
      </w:r>
      <w:r w:rsidRPr="009425D3">
        <w:rPr>
          <w:rFonts w:ascii="Times New Roman" w:eastAsia="Calibri" w:hAnsi="Times New Roman"/>
          <w:sz w:val="24"/>
          <w:lang w:val="bg-BG" w:eastAsia="en-US"/>
        </w:rPr>
        <w:t>. По последни данни на НСИ през 2022</w:t>
      </w:r>
      <w:r w:rsidR="00C55B90">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са 421 на 100 000 души, а през 2015</w:t>
      </w:r>
      <w:r w:rsidR="00C55B90">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са били 312, което е и средното за ЕС. По разходи за сектор „Вътрешен ред и сигурност“ България е на челно място в ЕС – 2,7% от БВП, докато средния дял в ЕС е 1,7% от БВП.</w:t>
      </w:r>
    </w:p>
    <w:p w:rsidR="009425D3" w:rsidRDefault="009425D3" w:rsidP="00D250A8">
      <w:pPr>
        <w:numPr>
          <w:ilvl w:val="0"/>
          <w:numId w:val="11"/>
        </w:numPr>
        <w:autoSpaceDE/>
        <w:autoSpaceDN/>
        <w:spacing w:after="160"/>
        <w:contextualSpacing/>
        <w:rPr>
          <w:rFonts w:ascii="Times New Roman" w:eastAsia="Calibri" w:hAnsi="Times New Roman"/>
          <w:sz w:val="24"/>
          <w:lang w:val="bg-BG" w:eastAsia="en-US"/>
        </w:rPr>
      </w:pPr>
      <w:r w:rsidRPr="009425D3">
        <w:rPr>
          <w:rFonts w:ascii="Times New Roman" w:eastAsia="Calibri" w:hAnsi="Times New Roman"/>
          <w:b/>
          <w:bCs/>
          <w:sz w:val="24"/>
          <w:lang w:val="bg-BG" w:eastAsia="en-US"/>
        </w:rPr>
        <w:t>Държавните служители и полицаите да плащат личните си осигурителни вноски, както всички останали служители</w:t>
      </w:r>
      <w:r w:rsidRPr="009425D3">
        <w:rPr>
          <w:rFonts w:ascii="Times New Roman" w:eastAsia="Calibri" w:hAnsi="Times New Roman"/>
          <w:sz w:val="24"/>
          <w:lang w:val="bg-BG" w:eastAsia="en-US"/>
        </w:rPr>
        <w:t xml:space="preserve">. </w:t>
      </w:r>
    </w:p>
    <w:p w:rsidR="00D250A8" w:rsidRPr="009425D3" w:rsidRDefault="00D250A8" w:rsidP="00D250A8">
      <w:pPr>
        <w:autoSpaceDE/>
        <w:autoSpaceDN/>
        <w:spacing w:after="160" w:line="276" w:lineRule="auto"/>
        <w:ind w:left="720" w:firstLine="0"/>
        <w:contextualSpacing/>
        <w:rPr>
          <w:rFonts w:ascii="Times New Roman" w:eastAsia="Calibri" w:hAnsi="Times New Roman"/>
          <w:sz w:val="24"/>
          <w:lang w:val="bg-BG" w:eastAsia="en-US"/>
        </w:rPr>
      </w:pPr>
    </w:p>
    <w:p w:rsidR="009425D3" w:rsidRPr="009425D3" w:rsidRDefault="009425D3" w:rsidP="00D250A8">
      <w:pPr>
        <w:autoSpaceDE/>
        <w:autoSpaceDN/>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t>Настоящата политика по заплащане на персонала в обществения сектор трябва да се преосмисли по няколко причини:</w:t>
      </w:r>
    </w:p>
    <w:p w:rsidR="009425D3" w:rsidRPr="009425D3" w:rsidRDefault="009425D3" w:rsidP="00D250A8">
      <w:pPr>
        <w:numPr>
          <w:ilvl w:val="0"/>
          <w:numId w:val="12"/>
        </w:numPr>
        <w:autoSpaceDE/>
        <w:autoSpaceDN/>
        <w:spacing w:after="160"/>
        <w:contextualSpacing/>
        <w:rPr>
          <w:rFonts w:ascii="Times New Roman" w:eastAsia="Calibri" w:hAnsi="Times New Roman"/>
          <w:sz w:val="24"/>
          <w:lang w:val="bg-BG" w:eastAsia="en-US"/>
        </w:rPr>
      </w:pPr>
      <w:r w:rsidRPr="009425D3">
        <w:rPr>
          <w:rFonts w:ascii="Times New Roman" w:eastAsia="Calibri" w:hAnsi="Times New Roman"/>
          <w:sz w:val="24"/>
          <w:lang w:val="bg-BG" w:eastAsia="en-US"/>
        </w:rPr>
        <w:t>Тежестта на разходите за персонал стана твърде голяма (10% от БВП);</w:t>
      </w:r>
    </w:p>
    <w:p w:rsidR="009425D3" w:rsidRPr="009425D3" w:rsidRDefault="009425D3" w:rsidP="00D250A8">
      <w:pPr>
        <w:numPr>
          <w:ilvl w:val="0"/>
          <w:numId w:val="12"/>
        </w:numPr>
        <w:autoSpaceDE/>
        <w:autoSpaceDN/>
        <w:spacing w:after="160"/>
        <w:contextualSpacing/>
        <w:rPr>
          <w:rFonts w:ascii="Times New Roman" w:eastAsia="Calibri" w:hAnsi="Times New Roman"/>
          <w:sz w:val="24"/>
          <w:lang w:val="bg-BG" w:eastAsia="en-US"/>
        </w:rPr>
      </w:pPr>
      <w:r w:rsidRPr="009425D3">
        <w:rPr>
          <w:rFonts w:ascii="Times New Roman" w:eastAsia="Calibri" w:hAnsi="Times New Roman"/>
          <w:sz w:val="24"/>
          <w:lang w:val="bg-BG" w:eastAsia="en-US"/>
        </w:rPr>
        <w:t>Изпреварващият ръст на доходите спрямо инфлацията стимулира потреблението и генерира още инфлация;</w:t>
      </w:r>
    </w:p>
    <w:p w:rsidR="009425D3" w:rsidRPr="009425D3" w:rsidRDefault="009425D3" w:rsidP="00D250A8">
      <w:pPr>
        <w:numPr>
          <w:ilvl w:val="0"/>
          <w:numId w:val="12"/>
        </w:numPr>
        <w:autoSpaceDE/>
        <w:autoSpaceDN/>
        <w:spacing w:after="160"/>
        <w:contextualSpacing/>
        <w:rPr>
          <w:rFonts w:ascii="Times New Roman" w:eastAsia="Calibri" w:hAnsi="Times New Roman"/>
          <w:sz w:val="24"/>
          <w:lang w:val="bg-BG" w:eastAsia="en-US"/>
        </w:rPr>
      </w:pPr>
      <w:r w:rsidRPr="009425D3">
        <w:rPr>
          <w:rFonts w:ascii="Times New Roman" w:eastAsia="Calibri" w:hAnsi="Times New Roman"/>
          <w:sz w:val="24"/>
          <w:lang w:val="bg-BG" w:eastAsia="en-US"/>
        </w:rPr>
        <w:t>Ръстът на заплатите в държавната сфера принуждава работодателите в частния сектор също да увеличават заплатите;</w:t>
      </w:r>
    </w:p>
    <w:p w:rsidR="009425D3" w:rsidRPr="009425D3" w:rsidRDefault="009425D3" w:rsidP="00D250A8">
      <w:pPr>
        <w:numPr>
          <w:ilvl w:val="0"/>
          <w:numId w:val="12"/>
        </w:numPr>
        <w:autoSpaceDE/>
        <w:autoSpaceDN/>
        <w:spacing w:after="160"/>
        <w:contextualSpacing/>
        <w:rPr>
          <w:rFonts w:ascii="Times New Roman" w:eastAsia="Calibri" w:hAnsi="Times New Roman"/>
          <w:sz w:val="24"/>
          <w:lang w:val="bg-BG" w:eastAsia="en-US"/>
        </w:rPr>
      </w:pPr>
      <w:r w:rsidRPr="009425D3">
        <w:rPr>
          <w:rFonts w:ascii="Times New Roman" w:eastAsia="Calibri" w:hAnsi="Times New Roman"/>
          <w:sz w:val="24"/>
          <w:lang w:val="bg-BG" w:eastAsia="en-US"/>
        </w:rPr>
        <w:t>Приоритетното увеличаване на заплатите в определени сектори създава усещане за несправедливост и води до протести за по-високи заплати и в другите сектори;</w:t>
      </w:r>
    </w:p>
    <w:p w:rsidR="009425D3" w:rsidRPr="009425D3" w:rsidRDefault="009425D3" w:rsidP="00D250A8">
      <w:pPr>
        <w:numPr>
          <w:ilvl w:val="0"/>
          <w:numId w:val="12"/>
        </w:numPr>
        <w:autoSpaceDE/>
        <w:autoSpaceDN/>
        <w:spacing w:after="160"/>
        <w:contextualSpacing/>
        <w:rPr>
          <w:rFonts w:ascii="Times New Roman" w:eastAsia="Calibri" w:hAnsi="Times New Roman"/>
          <w:sz w:val="24"/>
          <w:lang w:val="bg-BG" w:eastAsia="en-US"/>
        </w:rPr>
      </w:pPr>
      <w:r w:rsidRPr="009425D3">
        <w:rPr>
          <w:rFonts w:ascii="Times New Roman" w:eastAsia="Calibri" w:hAnsi="Times New Roman"/>
          <w:sz w:val="24"/>
          <w:lang w:val="bg-BG" w:eastAsia="en-US"/>
        </w:rPr>
        <w:t xml:space="preserve">Намаляването на населението изисква съкращаване на служителите в някои сектори, при които натовареността намалява (полицаи, учители, лекари, чиновници и др.); </w:t>
      </w:r>
    </w:p>
    <w:p w:rsidR="009425D3" w:rsidRDefault="009425D3" w:rsidP="00D250A8">
      <w:pPr>
        <w:numPr>
          <w:ilvl w:val="0"/>
          <w:numId w:val="12"/>
        </w:numPr>
        <w:autoSpaceDE/>
        <w:autoSpaceDN/>
        <w:spacing w:after="160"/>
        <w:contextualSpacing/>
        <w:rPr>
          <w:rFonts w:ascii="Times New Roman" w:eastAsia="Calibri" w:hAnsi="Times New Roman"/>
          <w:sz w:val="24"/>
          <w:lang w:val="bg-BG" w:eastAsia="en-US"/>
        </w:rPr>
      </w:pPr>
      <w:r w:rsidRPr="009425D3">
        <w:rPr>
          <w:rFonts w:ascii="Times New Roman" w:eastAsia="Calibri" w:hAnsi="Times New Roman"/>
          <w:sz w:val="24"/>
          <w:lang w:val="bg-BG" w:eastAsia="en-US"/>
        </w:rPr>
        <w:t xml:space="preserve">Режимът по отношение на разпределението на осигурителната тежест между работодател и служител трябва да е еднакъв за всички работещи.  </w:t>
      </w:r>
    </w:p>
    <w:p w:rsidR="009425D3" w:rsidRPr="009425D3" w:rsidRDefault="009425D3" w:rsidP="009425D3">
      <w:pPr>
        <w:autoSpaceDE/>
        <w:autoSpaceDN/>
        <w:spacing w:after="160" w:line="256" w:lineRule="auto"/>
        <w:ind w:left="1069" w:firstLine="0"/>
        <w:contextualSpacing/>
        <w:rPr>
          <w:rFonts w:ascii="Times New Roman" w:eastAsia="Calibri" w:hAnsi="Times New Roman"/>
          <w:sz w:val="24"/>
          <w:lang w:val="bg-BG" w:eastAsia="en-US"/>
        </w:rPr>
      </w:pPr>
    </w:p>
    <w:p w:rsidR="009425D3" w:rsidRPr="009425D3" w:rsidRDefault="009425D3" w:rsidP="00423AB0">
      <w:pPr>
        <w:autoSpaceDE/>
        <w:autoSpaceDN/>
        <w:spacing w:after="240" w:line="276" w:lineRule="auto"/>
        <w:ind w:firstLine="709"/>
        <w:rPr>
          <w:rFonts w:ascii="Times New Roman" w:eastAsia="Calibri" w:hAnsi="Times New Roman"/>
          <w:b/>
          <w:bCs/>
          <w:sz w:val="24"/>
          <w:lang w:val="bg-BG" w:eastAsia="en-US"/>
        </w:rPr>
      </w:pPr>
      <w:r w:rsidRPr="009425D3">
        <w:rPr>
          <w:rFonts w:ascii="Times New Roman" w:eastAsia="Calibri" w:hAnsi="Times New Roman"/>
          <w:b/>
          <w:bCs/>
          <w:sz w:val="24"/>
          <w:lang w:val="bg-BG" w:eastAsia="en-US"/>
        </w:rPr>
        <w:lastRenderedPageBreak/>
        <w:t>Държавни разходи за персонал – заети и заплати по сектори</w:t>
      </w:r>
    </w:p>
    <w:p w:rsidR="009425D3" w:rsidRPr="009425D3" w:rsidRDefault="009425D3" w:rsidP="009316CF">
      <w:pPr>
        <w:autoSpaceDE/>
        <w:autoSpaceDN/>
        <w:spacing w:line="276" w:lineRule="auto"/>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t>Разходите за персонал в отчета за бюджета за 2024</w:t>
      </w:r>
      <w:r>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възлизат на над 20 млрд. лв. при планирани 18 млрд. лв. От тях 16 млрд. лв. са за заплати, а останалите 4 млрд. лв. са за осигуровки. Увеличават се с 3 млрд. лв. или със 17% спрямо предходната година. За 2025</w:t>
      </w:r>
      <w:r>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 xml:space="preserve">г. са планирани </w:t>
      </w:r>
      <w:r w:rsidRPr="009425D3">
        <w:rPr>
          <w:rFonts w:ascii="Times New Roman" w:eastAsia="Calibri" w:hAnsi="Times New Roman"/>
          <w:b/>
          <w:sz w:val="24"/>
          <w:lang w:val="bg-BG" w:eastAsia="en-US"/>
        </w:rPr>
        <w:t>22,8 млрд. лв.</w:t>
      </w:r>
      <w:r w:rsidRPr="009425D3">
        <w:rPr>
          <w:rFonts w:ascii="Times New Roman" w:eastAsia="Calibri" w:hAnsi="Times New Roman"/>
          <w:sz w:val="24"/>
          <w:lang w:val="bg-BG" w:eastAsia="en-US"/>
        </w:rPr>
        <w:t xml:space="preserve"> за персонал или отново почти 3 млрд. лв. повече. Разходите за персонал представляват 26% от всички държавни разходи (при 22% през 2018</w:t>
      </w:r>
      <w:r>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Като дял от БВП достигат вече 10%, а до 2018</w:t>
      </w:r>
      <w:r>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 xml:space="preserve">г. не надвишават 8%. Тези данни показват, че през последните 5-6 години държавните разходи за персонал растат с темпове, изпреварващи инфлацията. </w:t>
      </w:r>
    </w:p>
    <w:p w:rsidR="009425D3" w:rsidRPr="009425D3" w:rsidRDefault="009425D3" w:rsidP="009316CF">
      <w:pPr>
        <w:autoSpaceDE/>
        <w:autoSpaceDN/>
        <w:spacing w:line="276" w:lineRule="auto"/>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t>Заетите в обществения сектор по трудови и служебни правоотношения през 2024</w:t>
      </w:r>
      <w:r>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 xml:space="preserve">г. са </w:t>
      </w:r>
      <w:r w:rsidRPr="009425D3">
        <w:rPr>
          <w:rFonts w:ascii="Times New Roman" w:eastAsia="Calibri" w:hAnsi="Times New Roman"/>
          <w:b/>
          <w:sz w:val="24"/>
          <w:lang w:val="bg-BG" w:eastAsia="en-US"/>
        </w:rPr>
        <w:t>558 399 души.</w:t>
      </w:r>
      <w:r w:rsidRPr="009425D3">
        <w:rPr>
          <w:rFonts w:ascii="Times New Roman" w:eastAsia="Calibri" w:hAnsi="Times New Roman"/>
          <w:sz w:val="24"/>
          <w:lang w:val="bg-BG" w:eastAsia="en-US"/>
        </w:rPr>
        <w:t xml:space="preserve"> Най-голям дял (около 28%) са заети в образователната сфера. На второ място по численост са заетите в сферата на здравеопазването (около 24%), а на трето място е държавната администрация с дял от около 20% (112,7 хил. д.). На тези три сектора се падат и приблизително 72% от общите разходи за заплати. Анализът на структурата на наетите лица в динамика показва значителен ръст в броя на заетите в здравния сектор – от 101 хил. д. през 2019</w:t>
      </w:r>
      <w:r>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до 132 хил. д. през 2024</w:t>
      </w:r>
      <w:r>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Този сектор отчита и най-голямото нарастване на разходите за заплати – от 1,7 млрд. лв. през 2020 г. до 3,4 млрд.</w:t>
      </w:r>
      <w:r>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 xml:space="preserve">лв. през 2024 г. </w:t>
      </w:r>
    </w:p>
    <w:p w:rsidR="009425D3" w:rsidRDefault="009425D3" w:rsidP="009316CF">
      <w:pPr>
        <w:autoSpaceDE/>
        <w:autoSpaceDN/>
        <w:spacing w:line="276" w:lineRule="auto"/>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t>Средната брутна работна заплата в обществения сектор е 2 400 лв. през 2024</w:t>
      </w:r>
      <w:r>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като се увеличава с 15% спрямо предходната година. С подобен темп нарастват заплатите в трите най-големи сектора. В графика 1 по-долу се вижда годишния</w:t>
      </w:r>
      <w:r w:rsidR="00C55B90">
        <w:rPr>
          <w:rFonts w:ascii="Times New Roman" w:eastAsia="Calibri" w:hAnsi="Times New Roman"/>
          <w:sz w:val="24"/>
          <w:lang w:val="bg-BG" w:eastAsia="en-US"/>
        </w:rPr>
        <w:t>т</w:t>
      </w:r>
      <w:r w:rsidRPr="009425D3">
        <w:rPr>
          <w:rFonts w:ascii="Times New Roman" w:eastAsia="Calibri" w:hAnsi="Times New Roman"/>
          <w:sz w:val="24"/>
          <w:lang w:val="bg-BG" w:eastAsia="en-US"/>
        </w:rPr>
        <w:t xml:space="preserve"> растеж на разходите за заплати, сравнен с общия растеж на публичния сектор. Отново се потвърждава ускорения</w:t>
      </w:r>
      <w:r w:rsidR="00C55B90">
        <w:rPr>
          <w:rFonts w:ascii="Times New Roman" w:eastAsia="Calibri" w:hAnsi="Times New Roman"/>
          <w:sz w:val="24"/>
          <w:lang w:val="bg-BG" w:eastAsia="en-US"/>
        </w:rPr>
        <w:t>т</w:t>
      </w:r>
      <w:r w:rsidRPr="009425D3">
        <w:rPr>
          <w:rFonts w:ascii="Times New Roman" w:eastAsia="Calibri" w:hAnsi="Times New Roman"/>
          <w:sz w:val="24"/>
          <w:lang w:val="bg-BG" w:eastAsia="en-US"/>
        </w:rPr>
        <w:t xml:space="preserve"> растеж на хуманното здравеопазване и социална работа, особено през годините на пандемията, но и през 2024</w:t>
      </w:r>
      <w:r>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След него е отрасълът на образованието, докато държавното управление е с най-умерен растеж.</w:t>
      </w:r>
    </w:p>
    <w:p w:rsidR="00C55B90" w:rsidRPr="009425D3" w:rsidRDefault="00C55B90" w:rsidP="009316CF">
      <w:pPr>
        <w:autoSpaceDE/>
        <w:autoSpaceDN/>
        <w:spacing w:line="276" w:lineRule="auto"/>
        <w:ind w:firstLine="709"/>
        <w:rPr>
          <w:rFonts w:ascii="Times New Roman" w:eastAsia="Calibri" w:hAnsi="Times New Roman"/>
          <w:sz w:val="24"/>
          <w:lang w:val="bg-BG" w:eastAsia="en-US"/>
        </w:rPr>
      </w:pPr>
    </w:p>
    <w:p w:rsidR="009425D3" w:rsidRPr="009425D3" w:rsidRDefault="009425D3" w:rsidP="009425D3">
      <w:pPr>
        <w:autoSpaceDE/>
        <w:autoSpaceDN/>
        <w:spacing w:line="336" w:lineRule="auto"/>
        <w:ind w:firstLine="0"/>
        <w:jc w:val="center"/>
        <w:rPr>
          <w:rFonts w:ascii="Calibri Light" w:eastAsia="Calibri" w:hAnsi="Calibri Light"/>
          <w:b/>
          <w:sz w:val="20"/>
          <w:szCs w:val="20"/>
          <w:lang w:val="bg-BG" w:eastAsia="en-US"/>
        </w:rPr>
      </w:pPr>
      <w:r w:rsidRPr="009425D3">
        <w:rPr>
          <w:rFonts w:ascii="Calibri Light" w:eastAsia="Calibri" w:hAnsi="Calibri Light"/>
          <w:b/>
          <w:sz w:val="20"/>
          <w:szCs w:val="20"/>
          <w:lang w:val="bg-BG" w:eastAsia="en-US"/>
        </w:rPr>
        <w:t>Граф. 1</w:t>
      </w:r>
      <w:r w:rsidRPr="009425D3">
        <w:rPr>
          <w:rFonts w:eastAsia="Calibri"/>
          <w:sz w:val="22"/>
          <w:szCs w:val="22"/>
          <w:lang w:val="bg-BG" w:eastAsia="en-US"/>
        </w:rPr>
        <w:t xml:space="preserve"> </w:t>
      </w:r>
      <w:r w:rsidRPr="009425D3">
        <w:rPr>
          <w:rFonts w:ascii="Calibri Light" w:eastAsia="Calibri" w:hAnsi="Calibri Light"/>
          <w:b/>
          <w:sz w:val="20"/>
          <w:szCs w:val="20"/>
          <w:lang w:val="bg-BG" w:eastAsia="en-US"/>
        </w:rPr>
        <w:t>Годишен растеж на разходите за заплати (%).</w:t>
      </w:r>
    </w:p>
    <w:p w:rsidR="009425D3" w:rsidRPr="009425D3" w:rsidRDefault="009425D3" w:rsidP="009425D3">
      <w:pPr>
        <w:autoSpaceDE/>
        <w:autoSpaceDN/>
        <w:ind w:firstLine="0"/>
        <w:jc w:val="center"/>
        <w:rPr>
          <w:rFonts w:ascii="Times New Roman" w:eastAsia="Calibri" w:hAnsi="Times New Roman"/>
          <w:sz w:val="24"/>
          <w:lang w:val="bg-BG" w:eastAsia="en-US"/>
        </w:rPr>
      </w:pPr>
      <w:r w:rsidRPr="009425D3">
        <w:rPr>
          <w:rFonts w:eastAsia="Calibri"/>
          <w:noProof/>
          <w:sz w:val="22"/>
          <w:szCs w:val="22"/>
          <w:lang w:val="bg-BG" w:eastAsia="en-US"/>
        </w:rPr>
        <w:drawing>
          <wp:inline distT="0" distB="0" distL="0" distR="0" wp14:anchorId="32946C2B" wp14:editId="58FD5897">
            <wp:extent cx="6096000" cy="3133725"/>
            <wp:effectExtent l="0" t="0" r="0" b="9525"/>
            <wp:docPr id="1" name="Chart 1">
              <a:extLst xmlns:a="http://schemas.openxmlformats.org/drawingml/2006/main">
                <a:ext uri="{FF2B5EF4-FFF2-40B4-BE49-F238E27FC236}">
                  <a16:creationId xmlns:a16="http://schemas.microsoft.com/office/drawing/2014/main" id="{983FC6B0-4D0A-48FB-93FF-93F2A836D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25D3" w:rsidRPr="009425D3" w:rsidRDefault="009425D3" w:rsidP="009425D3">
      <w:pPr>
        <w:autoSpaceDE/>
        <w:autoSpaceDN/>
        <w:spacing w:after="160" w:line="256" w:lineRule="auto"/>
        <w:ind w:right="192" w:firstLine="0"/>
        <w:jc w:val="right"/>
        <w:rPr>
          <w:rFonts w:ascii="Calibri Light" w:eastAsia="Calibri" w:hAnsi="Calibri Light"/>
          <w:sz w:val="20"/>
          <w:szCs w:val="20"/>
          <w:lang w:val="bg-BG" w:eastAsia="en-US"/>
        </w:rPr>
      </w:pPr>
      <w:r w:rsidRPr="009425D3">
        <w:rPr>
          <w:rFonts w:ascii="Calibri Light" w:eastAsia="Calibri" w:hAnsi="Calibri Light"/>
          <w:sz w:val="20"/>
          <w:szCs w:val="20"/>
          <w:lang w:val="bg-BG" w:eastAsia="en-US"/>
        </w:rPr>
        <w:t>Източник: ФС по данни на НСИ</w:t>
      </w:r>
    </w:p>
    <w:p w:rsidR="009425D3" w:rsidRDefault="009425D3" w:rsidP="009316CF">
      <w:pPr>
        <w:autoSpaceDE/>
        <w:autoSpaceDN/>
        <w:spacing w:line="276" w:lineRule="auto"/>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lastRenderedPageBreak/>
        <w:t>Този извод се потвърждава и от графика 2, където рязкото намаление на съотношението население на 1 служител потвърждава изпреварващия ръст на хуманното здравеопазване и социална работа.</w:t>
      </w:r>
    </w:p>
    <w:p w:rsidR="009425D3" w:rsidRDefault="009425D3" w:rsidP="009425D3">
      <w:pPr>
        <w:autoSpaceDE/>
        <w:autoSpaceDN/>
        <w:ind w:firstLine="709"/>
        <w:rPr>
          <w:rFonts w:ascii="Times New Roman" w:eastAsia="Calibri" w:hAnsi="Times New Roman"/>
          <w:sz w:val="24"/>
          <w:lang w:val="bg-BG" w:eastAsia="en-US"/>
        </w:rPr>
      </w:pPr>
    </w:p>
    <w:p w:rsidR="009425D3" w:rsidRPr="009425D3" w:rsidRDefault="009425D3" w:rsidP="009425D3">
      <w:pPr>
        <w:autoSpaceDE/>
        <w:autoSpaceDN/>
        <w:spacing w:line="336" w:lineRule="auto"/>
        <w:ind w:firstLine="0"/>
        <w:jc w:val="center"/>
        <w:rPr>
          <w:rFonts w:ascii="Calibri Light" w:eastAsia="Calibri" w:hAnsi="Calibri Light"/>
          <w:b/>
          <w:sz w:val="20"/>
          <w:szCs w:val="20"/>
          <w:lang w:val="bg-BG" w:eastAsia="en-US"/>
        </w:rPr>
      </w:pPr>
      <w:r w:rsidRPr="009425D3">
        <w:rPr>
          <w:rFonts w:ascii="Calibri Light" w:eastAsia="Calibri" w:hAnsi="Calibri Light"/>
          <w:b/>
          <w:sz w:val="20"/>
          <w:szCs w:val="20"/>
          <w:lang w:val="bg-BG" w:eastAsia="en-US"/>
        </w:rPr>
        <w:t>Граф. 2</w:t>
      </w:r>
      <w:r w:rsidRPr="009425D3">
        <w:rPr>
          <w:rFonts w:eastAsia="Calibri"/>
          <w:sz w:val="22"/>
          <w:szCs w:val="22"/>
          <w:lang w:val="bg-BG" w:eastAsia="en-US"/>
        </w:rPr>
        <w:t xml:space="preserve"> </w:t>
      </w:r>
      <w:r w:rsidRPr="009425D3">
        <w:rPr>
          <w:rFonts w:ascii="Calibri Light" w:eastAsia="Calibri" w:hAnsi="Calibri Light"/>
          <w:b/>
          <w:sz w:val="20"/>
          <w:szCs w:val="20"/>
          <w:lang w:val="bg-BG" w:eastAsia="en-US"/>
        </w:rPr>
        <w:t>Съотношение население</w:t>
      </w:r>
      <w:r w:rsidRPr="009425D3">
        <w:rPr>
          <w:rFonts w:ascii="Calibri Light" w:eastAsia="Calibri" w:hAnsi="Calibri Light"/>
          <w:b/>
          <w:sz w:val="20"/>
          <w:szCs w:val="20"/>
          <w:lang w:val="ru-RU" w:eastAsia="en-US"/>
        </w:rPr>
        <w:t xml:space="preserve"> </w:t>
      </w:r>
      <w:r w:rsidRPr="009425D3">
        <w:rPr>
          <w:rFonts w:ascii="Calibri Light" w:eastAsia="Calibri" w:hAnsi="Calibri Light"/>
          <w:b/>
          <w:sz w:val="20"/>
          <w:szCs w:val="20"/>
          <w:lang w:val="bg-BG" w:eastAsia="en-US"/>
        </w:rPr>
        <w:t>на 1 служител в публичния сектор</w:t>
      </w:r>
    </w:p>
    <w:p w:rsidR="009425D3" w:rsidRPr="009425D3" w:rsidRDefault="009425D3" w:rsidP="009425D3">
      <w:pPr>
        <w:autoSpaceDE/>
        <w:autoSpaceDN/>
        <w:ind w:firstLine="0"/>
        <w:jc w:val="center"/>
        <w:rPr>
          <w:rFonts w:ascii="Times New Roman" w:eastAsia="Calibri" w:hAnsi="Times New Roman"/>
          <w:sz w:val="24"/>
          <w:lang w:val="bg-BG" w:eastAsia="en-US"/>
        </w:rPr>
      </w:pPr>
      <w:r w:rsidRPr="009425D3">
        <w:rPr>
          <w:rFonts w:eastAsia="Calibri"/>
          <w:noProof/>
          <w:sz w:val="22"/>
          <w:szCs w:val="22"/>
          <w:lang w:val="bg-BG" w:eastAsia="en-US"/>
        </w:rPr>
        <w:drawing>
          <wp:inline distT="0" distB="0" distL="0" distR="0" wp14:anchorId="03066C6A" wp14:editId="31299F4B">
            <wp:extent cx="5600700" cy="2771775"/>
            <wp:effectExtent l="0" t="0" r="0" b="9525"/>
            <wp:docPr id="2" name="Chart 2">
              <a:extLst xmlns:a="http://schemas.openxmlformats.org/drawingml/2006/main">
                <a:ext uri="{FF2B5EF4-FFF2-40B4-BE49-F238E27FC236}">
                  <a16:creationId xmlns:a16="http://schemas.microsoft.com/office/drawing/2014/main" id="{CB4BC084-3110-469A-BC72-95832760A5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425D3" w:rsidRPr="009425D3" w:rsidRDefault="009425D3" w:rsidP="009425D3">
      <w:pPr>
        <w:autoSpaceDE/>
        <w:autoSpaceDN/>
        <w:spacing w:after="160" w:line="256" w:lineRule="auto"/>
        <w:ind w:right="192" w:firstLine="0"/>
        <w:jc w:val="right"/>
        <w:rPr>
          <w:rFonts w:ascii="Calibri Light" w:eastAsia="Calibri" w:hAnsi="Calibri Light"/>
          <w:sz w:val="20"/>
          <w:szCs w:val="20"/>
          <w:lang w:val="bg-BG" w:eastAsia="en-US"/>
        </w:rPr>
      </w:pPr>
      <w:r w:rsidRPr="009425D3">
        <w:rPr>
          <w:rFonts w:ascii="Calibri Light" w:eastAsia="Calibri" w:hAnsi="Calibri Light"/>
          <w:sz w:val="20"/>
          <w:szCs w:val="20"/>
          <w:lang w:val="bg-BG" w:eastAsia="en-US"/>
        </w:rPr>
        <w:t>Източник: ФС по данни на НСИ</w:t>
      </w:r>
    </w:p>
    <w:p w:rsidR="009425D3" w:rsidRPr="009425D3" w:rsidRDefault="009425D3" w:rsidP="009316CF">
      <w:pPr>
        <w:autoSpaceDE/>
        <w:autoSpaceDN/>
        <w:spacing w:line="276" w:lineRule="auto"/>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t>Заплатите в обществения сектор изпреварват тези в частния сектор - средната заплата там е 2 300 лв. Политиката по заплащане в публичния сектор създава натиск върху пазара на труда и частния</w:t>
      </w:r>
      <w:r w:rsidR="00C55B90">
        <w:rPr>
          <w:rFonts w:ascii="Times New Roman" w:eastAsia="Calibri" w:hAnsi="Times New Roman"/>
          <w:sz w:val="24"/>
          <w:lang w:val="bg-BG" w:eastAsia="en-US"/>
        </w:rPr>
        <w:t>т</w:t>
      </w:r>
      <w:r w:rsidRPr="009425D3">
        <w:rPr>
          <w:rFonts w:ascii="Times New Roman" w:eastAsia="Calibri" w:hAnsi="Times New Roman"/>
          <w:sz w:val="24"/>
          <w:lang w:val="bg-BG" w:eastAsia="en-US"/>
        </w:rPr>
        <w:t xml:space="preserve"> сектор също е принуден да повишава заплатите</w:t>
      </w:r>
      <w:r w:rsidR="00C55B90">
        <w:rPr>
          <w:rFonts w:ascii="Times New Roman" w:eastAsia="Calibri" w:hAnsi="Times New Roman"/>
          <w:sz w:val="24"/>
          <w:lang w:val="bg-BG" w:eastAsia="en-US"/>
        </w:rPr>
        <w:t>,</w:t>
      </w:r>
      <w:r w:rsidRPr="009425D3">
        <w:rPr>
          <w:rFonts w:ascii="Times New Roman" w:eastAsia="Calibri" w:hAnsi="Times New Roman"/>
          <w:sz w:val="24"/>
          <w:lang w:val="bg-BG" w:eastAsia="en-US"/>
        </w:rPr>
        <w:t xml:space="preserve"> за да задържи служителите си.</w:t>
      </w:r>
      <w:r w:rsidRPr="009425D3">
        <w:rPr>
          <w:rFonts w:ascii="Times New Roman" w:eastAsia="Calibri" w:hAnsi="Times New Roman"/>
          <w:sz w:val="24"/>
          <w:lang w:val="ru-RU" w:eastAsia="en-US"/>
        </w:rPr>
        <w:t xml:space="preserve"> </w:t>
      </w:r>
      <w:r w:rsidRPr="009425D3">
        <w:rPr>
          <w:rFonts w:ascii="Times New Roman" w:eastAsia="Calibri" w:hAnsi="Times New Roman"/>
          <w:sz w:val="24"/>
          <w:lang w:val="bg-BG" w:eastAsia="en-US"/>
        </w:rPr>
        <w:t>В голяма част от общините заетите са предимно в обществения сектор и той задава нивата на възнаграждения, с които частния</w:t>
      </w:r>
      <w:r w:rsidR="00C55B90">
        <w:rPr>
          <w:rFonts w:ascii="Times New Roman" w:eastAsia="Calibri" w:hAnsi="Times New Roman"/>
          <w:sz w:val="24"/>
          <w:lang w:val="bg-BG" w:eastAsia="en-US"/>
        </w:rPr>
        <w:t>т</w:t>
      </w:r>
      <w:r w:rsidRPr="009425D3">
        <w:rPr>
          <w:rFonts w:ascii="Times New Roman" w:eastAsia="Calibri" w:hAnsi="Times New Roman"/>
          <w:sz w:val="24"/>
          <w:lang w:val="bg-BG" w:eastAsia="en-US"/>
        </w:rPr>
        <w:t xml:space="preserve"> сектор трябва да се конкурира.</w:t>
      </w:r>
    </w:p>
    <w:p w:rsidR="009425D3" w:rsidRPr="009425D3" w:rsidRDefault="009425D3" w:rsidP="00423AB0">
      <w:pPr>
        <w:autoSpaceDE/>
        <w:autoSpaceDN/>
        <w:spacing w:after="120" w:line="276" w:lineRule="auto"/>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t xml:space="preserve">В отчета за изпълнението на бюджет 2024 г. са отчетени 2,2 млрд. лв. повече разходи за персонал от планираните, т.е. превишение с 12%. Видно е, че преизпълнението на разходите за персонал не е свързано с държавния бюджет, а вероятно касае бюджетите на общините, където разходите за персонал достигат 8,12 млрд. лв. (при 6,85 млрд. лв. за 2023г.). Голяма част от тези разходи се финансират с трансфер от държавния бюджет за делегираните дейности (най-вече за образование). </w:t>
      </w:r>
    </w:p>
    <w:p w:rsidR="009425D3" w:rsidRPr="009425D3" w:rsidRDefault="009425D3" w:rsidP="00423AB0">
      <w:pPr>
        <w:autoSpaceDE/>
        <w:autoSpaceDN/>
        <w:spacing w:line="276" w:lineRule="auto"/>
        <w:ind w:firstLine="709"/>
        <w:rPr>
          <w:rFonts w:ascii="Times New Roman" w:eastAsia="Calibri" w:hAnsi="Times New Roman"/>
          <w:b/>
          <w:bCs/>
          <w:sz w:val="24"/>
          <w:lang w:val="bg-BG" w:eastAsia="en-US"/>
        </w:rPr>
      </w:pPr>
      <w:r w:rsidRPr="009425D3">
        <w:rPr>
          <w:rFonts w:ascii="Times New Roman" w:eastAsia="Calibri" w:hAnsi="Times New Roman"/>
          <w:b/>
          <w:bCs/>
          <w:sz w:val="24"/>
          <w:lang w:val="bg-BG" w:eastAsia="en-US"/>
        </w:rPr>
        <w:t>Държавно управление</w:t>
      </w:r>
    </w:p>
    <w:p w:rsidR="009425D3" w:rsidRPr="009425D3" w:rsidRDefault="009425D3" w:rsidP="009316CF">
      <w:pPr>
        <w:autoSpaceDE/>
        <w:autoSpaceDN/>
        <w:spacing w:line="276" w:lineRule="auto"/>
        <w:ind w:firstLine="709"/>
        <w:rPr>
          <w:rFonts w:ascii="Times New Roman" w:eastAsia="Calibri" w:hAnsi="Times New Roman"/>
          <w:sz w:val="24"/>
          <w:lang w:val="bg-BG" w:eastAsia="en-US"/>
        </w:rPr>
      </w:pPr>
      <w:bookmarkStart w:id="0" w:name="_Hlk211868620"/>
      <w:r w:rsidRPr="009425D3">
        <w:rPr>
          <w:rFonts w:ascii="Times New Roman" w:eastAsia="Calibri" w:hAnsi="Times New Roman"/>
          <w:sz w:val="24"/>
          <w:lang w:val="bg-BG" w:eastAsia="en-US"/>
        </w:rPr>
        <w:t xml:space="preserve">Администрацията на изпълнителната власт </w:t>
      </w:r>
      <w:bookmarkEnd w:id="0"/>
      <w:r w:rsidRPr="009425D3">
        <w:rPr>
          <w:rFonts w:ascii="Times New Roman" w:eastAsia="Calibri" w:hAnsi="Times New Roman"/>
          <w:sz w:val="24"/>
          <w:lang w:val="bg-BG" w:eastAsia="en-US"/>
        </w:rPr>
        <w:t>към юни 2025</w:t>
      </w:r>
      <w:r>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е 99 хил. д. От тях 35 хил. д</w:t>
      </w:r>
      <w:r w:rsidR="00456511">
        <w:rPr>
          <w:rFonts w:ascii="Times New Roman" w:eastAsia="Calibri" w:hAnsi="Times New Roman"/>
          <w:sz w:val="24"/>
          <w:lang w:val="bg-BG" w:eastAsia="en-US"/>
        </w:rPr>
        <w:t>.</w:t>
      </w:r>
      <w:r w:rsidRPr="009425D3">
        <w:rPr>
          <w:rFonts w:ascii="Times New Roman" w:eastAsia="Calibri" w:hAnsi="Times New Roman"/>
          <w:sz w:val="24"/>
          <w:lang w:val="bg-BG" w:eastAsia="en-US"/>
        </w:rPr>
        <w:t xml:space="preserve"> са в общинските администрации, а 56 хил. д. са в централната администрация. За периода 2011-2025 (юни) г. общата численост на администрацията на изпълнителната власт е нараснала умерено с 2 623 души. Съотношението брой население към 1 служител на администрацията за същия период намалява от 76,1 на 65,1 (изчисление на Фискалния съвет), което показва известно нарастване на административната тежест, но това намаление се дължи основно на намалението на броя на населението.</w:t>
      </w:r>
    </w:p>
    <w:p w:rsidR="009425D3" w:rsidRDefault="009425D3" w:rsidP="009316CF">
      <w:pPr>
        <w:autoSpaceDE/>
        <w:autoSpaceDN/>
        <w:spacing w:line="276" w:lineRule="auto"/>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t>С изпреварващ ръст се отличават общинските администрации, които за периода 2011-2025 (юни) г. се увеличават с 2 184 души. При тях съотношението население на 1 служител по изчисление на ФС</w:t>
      </w:r>
      <w:r w:rsidRPr="009425D3">
        <w:rPr>
          <w:rFonts w:ascii="Times New Roman" w:eastAsia="Calibri" w:hAnsi="Times New Roman"/>
          <w:sz w:val="24"/>
          <w:lang w:val="ru-RU" w:eastAsia="en-US"/>
        </w:rPr>
        <w:t xml:space="preserve"> </w:t>
      </w:r>
      <w:r w:rsidRPr="009425D3">
        <w:rPr>
          <w:rFonts w:ascii="Times New Roman" w:eastAsia="Calibri" w:hAnsi="Times New Roman"/>
          <w:sz w:val="24"/>
          <w:lang w:val="bg-BG" w:eastAsia="en-US"/>
        </w:rPr>
        <w:t xml:space="preserve">по данни на НСИ намалява от 223,2 през 2011 г. на 183,9 през юни 2025 г., т.е. налице е съществено увеличаване на административната тежест, показано в графика 3. </w:t>
      </w:r>
    </w:p>
    <w:p w:rsidR="009425D3" w:rsidRPr="009425D3" w:rsidRDefault="009425D3" w:rsidP="009425D3">
      <w:pPr>
        <w:autoSpaceDE/>
        <w:autoSpaceDN/>
        <w:spacing w:line="336" w:lineRule="auto"/>
        <w:ind w:firstLine="0"/>
        <w:jc w:val="center"/>
        <w:rPr>
          <w:rFonts w:ascii="Calibri Light" w:eastAsia="Calibri" w:hAnsi="Calibri Light"/>
          <w:b/>
          <w:sz w:val="20"/>
          <w:szCs w:val="20"/>
          <w:lang w:val="bg-BG" w:eastAsia="en-US"/>
        </w:rPr>
      </w:pPr>
      <w:r w:rsidRPr="009425D3">
        <w:rPr>
          <w:rFonts w:ascii="Calibri Light" w:eastAsia="Calibri" w:hAnsi="Calibri Light"/>
          <w:b/>
          <w:sz w:val="20"/>
          <w:szCs w:val="20"/>
          <w:lang w:val="bg-BG" w:eastAsia="en-US"/>
        </w:rPr>
        <w:lastRenderedPageBreak/>
        <w:t>Граф. 3</w:t>
      </w:r>
      <w:r w:rsidRPr="009425D3">
        <w:rPr>
          <w:rFonts w:eastAsia="Calibri"/>
          <w:sz w:val="22"/>
          <w:szCs w:val="22"/>
          <w:lang w:val="bg-BG" w:eastAsia="en-US"/>
        </w:rPr>
        <w:t xml:space="preserve"> </w:t>
      </w:r>
      <w:r w:rsidRPr="009425D3">
        <w:rPr>
          <w:rFonts w:ascii="Calibri Light" w:eastAsia="Calibri" w:hAnsi="Calibri Light"/>
          <w:b/>
          <w:sz w:val="20"/>
          <w:szCs w:val="20"/>
          <w:lang w:val="bg-BG" w:eastAsia="en-US"/>
        </w:rPr>
        <w:t xml:space="preserve">Общински администрации население на 1 служител </w:t>
      </w:r>
    </w:p>
    <w:p w:rsidR="009425D3" w:rsidRPr="009425D3" w:rsidRDefault="009425D3" w:rsidP="00456511">
      <w:pPr>
        <w:autoSpaceDE/>
        <w:autoSpaceDN/>
        <w:ind w:firstLine="0"/>
        <w:jc w:val="center"/>
        <w:rPr>
          <w:rFonts w:ascii="Times New Roman" w:eastAsia="Calibri" w:hAnsi="Times New Roman"/>
          <w:sz w:val="24"/>
          <w:lang w:val="bg-BG" w:eastAsia="en-US"/>
        </w:rPr>
      </w:pPr>
      <w:r w:rsidRPr="009425D3">
        <w:rPr>
          <w:rFonts w:eastAsia="Calibri"/>
          <w:noProof/>
          <w:sz w:val="22"/>
          <w:szCs w:val="22"/>
          <w:lang w:val="bg-BG" w:eastAsia="en-US"/>
        </w:rPr>
        <w:drawing>
          <wp:inline distT="0" distB="0" distL="0" distR="0" wp14:anchorId="2879DA3A" wp14:editId="5C8E6DB1">
            <wp:extent cx="5629275" cy="2676525"/>
            <wp:effectExtent l="0" t="0" r="9525" b="9525"/>
            <wp:docPr id="3" name="Chart 3">
              <a:extLst xmlns:a="http://schemas.openxmlformats.org/drawingml/2006/main">
                <a:ext uri="{FF2B5EF4-FFF2-40B4-BE49-F238E27FC236}">
                  <a16:creationId xmlns:a16="http://schemas.microsoft.com/office/drawing/2014/main" id="{E6081824-B814-43D0-9F67-B182B53D56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425D3" w:rsidRPr="009425D3" w:rsidRDefault="009425D3" w:rsidP="009425D3">
      <w:pPr>
        <w:autoSpaceDE/>
        <w:autoSpaceDN/>
        <w:spacing w:after="160" w:line="256" w:lineRule="auto"/>
        <w:ind w:right="192" w:firstLine="0"/>
        <w:jc w:val="right"/>
        <w:rPr>
          <w:rFonts w:ascii="Calibri Light" w:eastAsia="Calibri" w:hAnsi="Calibri Light"/>
          <w:sz w:val="20"/>
          <w:szCs w:val="20"/>
          <w:lang w:val="bg-BG" w:eastAsia="en-US"/>
        </w:rPr>
      </w:pPr>
      <w:r w:rsidRPr="009425D3">
        <w:rPr>
          <w:rFonts w:ascii="Calibri Light" w:eastAsia="Calibri" w:hAnsi="Calibri Light"/>
          <w:sz w:val="20"/>
          <w:szCs w:val="20"/>
          <w:lang w:val="bg-BG" w:eastAsia="en-US"/>
        </w:rPr>
        <w:t>Източник: Изчисления на ФС по данни на НСИ</w:t>
      </w:r>
    </w:p>
    <w:p w:rsidR="009425D3" w:rsidRDefault="009425D3" w:rsidP="009425D3">
      <w:pPr>
        <w:autoSpaceDE/>
        <w:autoSpaceDN/>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t xml:space="preserve">Този извод се потвърждава от данните за съотношението население на един общински служител (бр.) на Министерство на </w:t>
      </w:r>
      <w:r w:rsidR="00456511">
        <w:rPr>
          <w:rFonts w:ascii="Times New Roman" w:eastAsia="Calibri" w:hAnsi="Times New Roman"/>
          <w:sz w:val="24"/>
          <w:lang w:val="bg-BG" w:eastAsia="en-US"/>
        </w:rPr>
        <w:t>ф</w:t>
      </w:r>
      <w:r w:rsidRPr="009425D3">
        <w:rPr>
          <w:rFonts w:ascii="Times New Roman" w:eastAsia="Calibri" w:hAnsi="Times New Roman"/>
          <w:sz w:val="24"/>
          <w:lang w:val="bg-BG" w:eastAsia="en-US"/>
        </w:rPr>
        <w:t>инансите за периода 2015-2025 юни. Дори ако приемем изчисленията на МФ за по-точни от тези на Фискалния съвет по данни на НСИ, тенденцията не се променя, което може да се види от графика 4.</w:t>
      </w:r>
    </w:p>
    <w:p w:rsidR="009316CF" w:rsidRPr="009425D3" w:rsidRDefault="009316CF" w:rsidP="009425D3">
      <w:pPr>
        <w:autoSpaceDE/>
        <w:autoSpaceDN/>
        <w:ind w:firstLine="709"/>
        <w:rPr>
          <w:rFonts w:ascii="Times New Roman" w:eastAsia="Calibri" w:hAnsi="Times New Roman"/>
          <w:sz w:val="24"/>
          <w:lang w:val="bg-BG" w:eastAsia="en-US"/>
        </w:rPr>
      </w:pPr>
    </w:p>
    <w:p w:rsidR="009425D3" w:rsidRPr="009425D3" w:rsidRDefault="009425D3" w:rsidP="009425D3">
      <w:pPr>
        <w:autoSpaceDE/>
        <w:autoSpaceDN/>
        <w:spacing w:line="336" w:lineRule="auto"/>
        <w:ind w:firstLine="0"/>
        <w:jc w:val="center"/>
        <w:rPr>
          <w:rFonts w:ascii="Calibri Light" w:eastAsia="Calibri" w:hAnsi="Calibri Light"/>
          <w:b/>
          <w:sz w:val="20"/>
          <w:szCs w:val="20"/>
          <w:lang w:val="bg-BG" w:eastAsia="en-US"/>
        </w:rPr>
      </w:pPr>
      <w:r w:rsidRPr="009425D3">
        <w:rPr>
          <w:rFonts w:ascii="Calibri Light" w:eastAsia="Calibri" w:hAnsi="Calibri Light"/>
          <w:b/>
          <w:sz w:val="20"/>
          <w:szCs w:val="20"/>
          <w:lang w:val="bg-BG" w:eastAsia="en-US"/>
        </w:rPr>
        <w:t>Граф. 4</w:t>
      </w:r>
      <w:r w:rsidRPr="009425D3">
        <w:rPr>
          <w:rFonts w:eastAsia="Calibri"/>
          <w:sz w:val="22"/>
          <w:szCs w:val="22"/>
          <w:lang w:val="bg-BG" w:eastAsia="en-US"/>
        </w:rPr>
        <w:t xml:space="preserve"> </w:t>
      </w:r>
      <w:r w:rsidRPr="009425D3">
        <w:rPr>
          <w:rFonts w:ascii="Calibri Light" w:eastAsia="Calibri" w:hAnsi="Calibri Light"/>
          <w:b/>
          <w:sz w:val="20"/>
          <w:szCs w:val="20"/>
          <w:lang w:val="bg-BG" w:eastAsia="en-US"/>
        </w:rPr>
        <w:t>Население на един общински служител (бр.) МФ</w:t>
      </w:r>
    </w:p>
    <w:p w:rsidR="009425D3" w:rsidRPr="009425D3" w:rsidRDefault="009425D3" w:rsidP="00456511">
      <w:pPr>
        <w:autoSpaceDE/>
        <w:autoSpaceDN/>
        <w:ind w:firstLine="0"/>
        <w:jc w:val="center"/>
        <w:rPr>
          <w:rFonts w:ascii="Times New Roman" w:eastAsia="Calibri" w:hAnsi="Times New Roman"/>
          <w:sz w:val="24"/>
          <w:lang w:val="bg-BG" w:eastAsia="en-US"/>
        </w:rPr>
      </w:pPr>
      <w:r w:rsidRPr="009425D3">
        <w:rPr>
          <w:rFonts w:eastAsia="Calibri"/>
          <w:noProof/>
          <w:sz w:val="22"/>
          <w:szCs w:val="22"/>
          <w:lang w:val="bg-BG" w:eastAsia="en-US"/>
        </w:rPr>
        <w:drawing>
          <wp:inline distT="0" distB="0" distL="0" distR="0" wp14:anchorId="65B5B3FE" wp14:editId="46F70052">
            <wp:extent cx="5581650" cy="2276475"/>
            <wp:effectExtent l="0" t="0" r="0" b="9525"/>
            <wp:docPr id="7" name="Chart 7">
              <a:extLst xmlns:a="http://schemas.openxmlformats.org/drawingml/2006/main">
                <a:ext uri="{FF2B5EF4-FFF2-40B4-BE49-F238E27FC236}">
                  <a16:creationId xmlns:a16="http://schemas.microsoft.com/office/drawing/2014/main" id="{6C7C8C74-874D-433B-A965-A54A0DD7E2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25D3" w:rsidRPr="009425D3" w:rsidRDefault="009425D3" w:rsidP="009425D3">
      <w:pPr>
        <w:autoSpaceDE/>
        <w:autoSpaceDN/>
        <w:spacing w:line="256" w:lineRule="auto"/>
        <w:ind w:right="193" w:firstLine="0"/>
        <w:jc w:val="right"/>
        <w:rPr>
          <w:rFonts w:ascii="Calibri Light" w:eastAsia="Calibri" w:hAnsi="Calibri Light"/>
          <w:sz w:val="20"/>
          <w:szCs w:val="20"/>
          <w:lang w:val="bg-BG" w:eastAsia="en-US"/>
        </w:rPr>
      </w:pPr>
      <w:r w:rsidRPr="009425D3">
        <w:rPr>
          <w:rFonts w:ascii="Calibri Light" w:eastAsia="Calibri" w:hAnsi="Calibri Light"/>
          <w:sz w:val="20"/>
          <w:szCs w:val="20"/>
          <w:lang w:val="bg-BG" w:eastAsia="en-US"/>
        </w:rPr>
        <w:t>Източник: Данни на МФ</w:t>
      </w:r>
    </w:p>
    <w:p w:rsidR="009425D3" w:rsidRPr="009425D3" w:rsidRDefault="009425D3" w:rsidP="009425D3">
      <w:pPr>
        <w:autoSpaceDE/>
        <w:autoSpaceDN/>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t xml:space="preserve">Следва да се обмисли административна реформа за намаляване на броя на общините. В много от по-малките общини административната тежест е твърде висока. Потвърждение на този факт са данните от МФ за юни 2025 г., посочени в Таблица 1. </w:t>
      </w:r>
    </w:p>
    <w:p w:rsidR="009425D3" w:rsidRDefault="009425D3" w:rsidP="009425D3">
      <w:pPr>
        <w:autoSpaceDE/>
        <w:autoSpaceDN/>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t>Тези общини имат много по-нисък коефициент население на един общински служител (бр.), отколкото средния за страната от 262. Според МФ общините от този списък се нуждаят от финансово оздравяване.</w:t>
      </w:r>
    </w:p>
    <w:p w:rsidR="00423AB0" w:rsidRDefault="00423AB0" w:rsidP="009425D3">
      <w:pPr>
        <w:autoSpaceDE/>
        <w:autoSpaceDN/>
        <w:ind w:firstLine="709"/>
        <w:rPr>
          <w:rFonts w:ascii="Times New Roman" w:eastAsia="Calibri" w:hAnsi="Times New Roman"/>
          <w:sz w:val="24"/>
          <w:lang w:val="bg-BG" w:eastAsia="en-US"/>
        </w:rPr>
      </w:pPr>
    </w:p>
    <w:p w:rsidR="009425D3" w:rsidRPr="009425D3" w:rsidRDefault="009425D3" w:rsidP="009425D3">
      <w:pPr>
        <w:autoSpaceDE/>
        <w:autoSpaceDN/>
        <w:spacing w:line="336" w:lineRule="auto"/>
        <w:ind w:firstLine="0"/>
        <w:jc w:val="center"/>
        <w:rPr>
          <w:rFonts w:ascii="Calibri Light" w:eastAsia="Calibri" w:hAnsi="Calibri Light"/>
          <w:b/>
          <w:sz w:val="20"/>
          <w:szCs w:val="20"/>
          <w:lang w:val="bg-BG" w:eastAsia="en-US"/>
        </w:rPr>
      </w:pPr>
      <w:r w:rsidRPr="009425D3">
        <w:rPr>
          <w:rFonts w:ascii="Calibri Light" w:eastAsia="Calibri" w:hAnsi="Calibri Light"/>
          <w:b/>
          <w:sz w:val="20"/>
          <w:szCs w:val="20"/>
          <w:lang w:val="bg-BG" w:eastAsia="en-US"/>
        </w:rPr>
        <w:lastRenderedPageBreak/>
        <w:t>Таблица 1 Общини с висока административна тежест</w:t>
      </w:r>
    </w:p>
    <w:tbl>
      <w:tblPr>
        <w:tblW w:w="8877" w:type="dxa"/>
        <w:jc w:val="center"/>
        <w:tblCellMar>
          <w:left w:w="70" w:type="dxa"/>
          <w:right w:w="70" w:type="dxa"/>
        </w:tblCellMar>
        <w:tblLook w:val="04A0" w:firstRow="1" w:lastRow="0" w:firstColumn="1" w:lastColumn="0" w:noHBand="0" w:noVBand="1"/>
      </w:tblPr>
      <w:tblGrid>
        <w:gridCol w:w="2376"/>
        <w:gridCol w:w="6501"/>
      </w:tblGrid>
      <w:tr w:rsidR="009425D3" w:rsidRPr="009425D3" w:rsidTr="00456511">
        <w:trPr>
          <w:trHeight w:val="376"/>
          <w:jc w:val="center"/>
        </w:trPr>
        <w:tc>
          <w:tcPr>
            <w:tcW w:w="2376" w:type="dxa"/>
            <w:tcBorders>
              <w:top w:val="single" w:sz="8" w:space="0" w:color="auto"/>
              <w:left w:val="single" w:sz="8" w:space="0" w:color="auto"/>
              <w:bottom w:val="single" w:sz="8" w:space="0" w:color="auto"/>
              <w:right w:val="single" w:sz="8" w:space="0" w:color="auto"/>
            </w:tcBorders>
            <w:shd w:val="clear" w:color="auto" w:fill="E7E6E6"/>
            <w:noWrap/>
            <w:vAlign w:val="center"/>
            <w:hideMark/>
          </w:tcPr>
          <w:p w:rsidR="009425D3" w:rsidRPr="009425D3" w:rsidRDefault="009425D3" w:rsidP="00456511">
            <w:pPr>
              <w:autoSpaceDE/>
              <w:autoSpaceDN/>
              <w:spacing w:line="240" w:lineRule="auto"/>
              <w:ind w:firstLine="0"/>
              <w:jc w:val="center"/>
              <w:rPr>
                <w:rFonts w:cs="Calibri"/>
                <w:color w:val="000000"/>
                <w:sz w:val="18"/>
                <w:szCs w:val="18"/>
                <w:lang w:val="bg-BG"/>
              </w:rPr>
            </w:pPr>
            <w:r w:rsidRPr="009425D3">
              <w:rPr>
                <w:rFonts w:cs="Calibri"/>
                <w:color w:val="000000"/>
                <w:sz w:val="18"/>
                <w:szCs w:val="18"/>
                <w:lang w:val="bg-BG"/>
              </w:rPr>
              <w:t>Общини</w:t>
            </w:r>
          </w:p>
        </w:tc>
        <w:tc>
          <w:tcPr>
            <w:tcW w:w="6501" w:type="dxa"/>
            <w:tcBorders>
              <w:top w:val="single" w:sz="8" w:space="0" w:color="auto"/>
              <w:left w:val="nil"/>
              <w:bottom w:val="single" w:sz="8" w:space="0" w:color="auto"/>
              <w:right w:val="single" w:sz="8" w:space="0" w:color="auto"/>
            </w:tcBorders>
            <w:shd w:val="clear" w:color="auto" w:fill="E7E6E6"/>
            <w:vAlign w:val="center"/>
            <w:hideMark/>
          </w:tcPr>
          <w:p w:rsidR="009425D3" w:rsidRPr="009425D3" w:rsidRDefault="009425D3" w:rsidP="00456511">
            <w:pPr>
              <w:autoSpaceDE/>
              <w:autoSpaceDN/>
              <w:spacing w:line="240" w:lineRule="auto"/>
              <w:ind w:firstLine="0"/>
              <w:jc w:val="center"/>
              <w:rPr>
                <w:rFonts w:cs="Calibri"/>
                <w:color w:val="000000"/>
                <w:sz w:val="18"/>
                <w:szCs w:val="18"/>
                <w:lang w:val="bg-BG"/>
              </w:rPr>
            </w:pPr>
            <w:r w:rsidRPr="009425D3">
              <w:rPr>
                <w:rFonts w:cs="Calibri"/>
                <w:color w:val="000000"/>
                <w:sz w:val="18"/>
                <w:szCs w:val="18"/>
                <w:lang w:val="bg-BG"/>
              </w:rPr>
              <w:t>Население на един общински служител (бр.)</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Трън</w:t>
            </w:r>
          </w:p>
        </w:tc>
        <w:tc>
          <w:tcPr>
            <w:tcW w:w="6501" w:type="dxa"/>
            <w:tcBorders>
              <w:top w:val="nil"/>
              <w:left w:val="nil"/>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53</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FFFFFF"/>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Драгоман</w:t>
            </w:r>
          </w:p>
        </w:tc>
        <w:tc>
          <w:tcPr>
            <w:tcW w:w="6501" w:type="dxa"/>
            <w:tcBorders>
              <w:top w:val="nil"/>
              <w:left w:val="nil"/>
              <w:bottom w:val="single" w:sz="4" w:space="0" w:color="auto"/>
              <w:right w:val="single" w:sz="8" w:space="0" w:color="auto"/>
            </w:tcBorders>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99</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Доспат</w:t>
            </w:r>
          </w:p>
        </w:tc>
        <w:tc>
          <w:tcPr>
            <w:tcW w:w="6501" w:type="dxa"/>
            <w:tcBorders>
              <w:top w:val="nil"/>
              <w:left w:val="nil"/>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100</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FFFFFF"/>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Ивайловград</w:t>
            </w:r>
          </w:p>
        </w:tc>
        <w:tc>
          <w:tcPr>
            <w:tcW w:w="6501" w:type="dxa"/>
            <w:tcBorders>
              <w:top w:val="nil"/>
              <w:left w:val="nil"/>
              <w:bottom w:val="single" w:sz="4" w:space="0" w:color="auto"/>
              <w:right w:val="single" w:sz="8" w:space="0" w:color="auto"/>
            </w:tcBorders>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100</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Борован</w:t>
            </w:r>
          </w:p>
        </w:tc>
        <w:tc>
          <w:tcPr>
            <w:tcW w:w="6501" w:type="dxa"/>
            <w:tcBorders>
              <w:top w:val="nil"/>
              <w:left w:val="nil"/>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108</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FFFFFF"/>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Костенец</w:t>
            </w:r>
          </w:p>
        </w:tc>
        <w:tc>
          <w:tcPr>
            <w:tcW w:w="6501" w:type="dxa"/>
            <w:tcBorders>
              <w:top w:val="nil"/>
              <w:left w:val="nil"/>
              <w:bottom w:val="single" w:sz="4" w:space="0" w:color="auto"/>
              <w:right w:val="single" w:sz="8" w:space="0" w:color="auto"/>
            </w:tcBorders>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116</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Каспичан</w:t>
            </w:r>
          </w:p>
        </w:tc>
        <w:tc>
          <w:tcPr>
            <w:tcW w:w="6501" w:type="dxa"/>
            <w:tcBorders>
              <w:top w:val="nil"/>
              <w:left w:val="nil"/>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118</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FFFFFF"/>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Струмяни</w:t>
            </w:r>
          </w:p>
        </w:tc>
        <w:tc>
          <w:tcPr>
            <w:tcW w:w="6501" w:type="dxa"/>
            <w:tcBorders>
              <w:top w:val="nil"/>
              <w:left w:val="nil"/>
              <w:bottom w:val="single" w:sz="4" w:space="0" w:color="auto"/>
              <w:right w:val="single" w:sz="8" w:space="0" w:color="auto"/>
            </w:tcBorders>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120</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Летница</w:t>
            </w:r>
          </w:p>
        </w:tc>
        <w:tc>
          <w:tcPr>
            <w:tcW w:w="6501" w:type="dxa"/>
            <w:tcBorders>
              <w:top w:val="nil"/>
              <w:left w:val="nil"/>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120</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FFFFFF"/>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Опака</w:t>
            </w:r>
          </w:p>
        </w:tc>
        <w:tc>
          <w:tcPr>
            <w:tcW w:w="6501" w:type="dxa"/>
            <w:tcBorders>
              <w:top w:val="nil"/>
              <w:left w:val="nil"/>
              <w:bottom w:val="single" w:sz="4" w:space="0" w:color="auto"/>
              <w:right w:val="single" w:sz="8" w:space="0" w:color="auto"/>
            </w:tcBorders>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138</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Рудозем</w:t>
            </w:r>
          </w:p>
        </w:tc>
        <w:tc>
          <w:tcPr>
            <w:tcW w:w="6501" w:type="dxa"/>
            <w:tcBorders>
              <w:top w:val="nil"/>
              <w:left w:val="nil"/>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142</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FFFFFF"/>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Котел</w:t>
            </w:r>
          </w:p>
        </w:tc>
        <w:tc>
          <w:tcPr>
            <w:tcW w:w="6501" w:type="dxa"/>
            <w:tcBorders>
              <w:top w:val="nil"/>
              <w:left w:val="nil"/>
              <w:bottom w:val="single" w:sz="4" w:space="0" w:color="auto"/>
              <w:right w:val="single" w:sz="8" w:space="0" w:color="auto"/>
            </w:tcBorders>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151</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Белово</w:t>
            </w:r>
          </w:p>
        </w:tc>
        <w:tc>
          <w:tcPr>
            <w:tcW w:w="6501" w:type="dxa"/>
            <w:tcBorders>
              <w:top w:val="nil"/>
              <w:left w:val="nil"/>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168</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FFFFFF"/>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Тополовград</w:t>
            </w:r>
          </w:p>
        </w:tc>
        <w:tc>
          <w:tcPr>
            <w:tcW w:w="6501" w:type="dxa"/>
            <w:tcBorders>
              <w:top w:val="nil"/>
              <w:left w:val="nil"/>
              <w:bottom w:val="single" w:sz="4" w:space="0" w:color="auto"/>
              <w:right w:val="single" w:sz="8" w:space="0" w:color="auto"/>
            </w:tcBorders>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190</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Септември</w:t>
            </w:r>
          </w:p>
        </w:tc>
        <w:tc>
          <w:tcPr>
            <w:tcW w:w="6501" w:type="dxa"/>
            <w:tcBorders>
              <w:top w:val="nil"/>
              <w:left w:val="nil"/>
              <w:bottom w:val="single" w:sz="4" w:space="0" w:color="auto"/>
              <w:right w:val="single" w:sz="8" w:space="0" w:color="auto"/>
            </w:tcBorders>
            <w:shd w:val="clear" w:color="auto" w:fill="DDEBF7"/>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213</w:t>
            </w:r>
          </w:p>
        </w:tc>
      </w:tr>
      <w:tr w:rsidR="009425D3" w:rsidRPr="009425D3" w:rsidTr="00456511">
        <w:trPr>
          <w:trHeight w:val="250"/>
          <w:jc w:val="center"/>
        </w:trPr>
        <w:tc>
          <w:tcPr>
            <w:tcW w:w="2376" w:type="dxa"/>
            <w:tcBorders>
              <w:top w:val="nil"/>
              <w:left w:val="single" w:sz="8" w:space="0" w:color="auto"/>
              <w:bottom w:val="single" w:sz="4" w:space="0" w:color="auto"/>
              <w:right w:val="single" w:sz="8" w:space="0" w:color="auto"/>
            </w:tcBorders>
            <w:shd w:val="clear" w:color="auto" w:fill="FFFFFF"/>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Велинград</w:t>
            </w:r>
          </w:p>
        </w:tc>
        <w:tc>
          <w:tcPr>
            <w:tcW w:w="6501" w:type="dxa"/>
            <w:tcBorders>
              <w:top w:val="nil"/>
              <w:left w:val="nil"/>
              <w:bottom w:val="single" w:sz="4" w:space="0" w:color="auto"/>
              <w:right w:val="single" w:sz="8" w:space="0" w:color="auto"/>
            </w:tcBorders>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223</w:t>
            </w:r>
          </w:p>
        </w:tc>
      </w:tr>
      <w:tr w:rsidR="009425D3" w:rsidRPr="009425D3" w:rsidTr="00456511">
        <w:trPr>
          <w:trHeight w:val="263"/>
          <w:jc w:val="center"/>
        </w:trPr>
        <w:tc>
          <w:tcPr>
            <w:tcW w:w="2376" w:type="dxa"/>
            <w:tcBorders>
              <w:top w:val="nil"/>
              <w:left w:val="single" w:sz="8" w:space="0" w:color="auto"/>
              <w:bottom w:val="single" w:sz="8" w:space="0" w:color="auto"/>
              <w:right w:val="single" w:sz="8" w:space="0" w:color="auto"/>
            </w:tcBorders>
            <w:shd w:val="clear" w:color="auto" w:fill="FFFFFF"/>
            <w:noWrap/>
            <w:vAlign w:val="bottom"/>
            <w:hideMark/>
          </w:tcPr>
          <w:p w:rsidR="009425D3" w:rsidRPr="009425D3" w:rsidRDefault="009425D3" w:rsidP="009425D3">
            <w:pPr>
              <w:autoSpaceDE/>
              <w:autoSpaceDN/>
              <w:spacing w:line="240" w:lineRule="auto"/>
              <w:ind w:firstLine="0"/>
              <w:jc w:val="left"/>
              <w:rPr>
                <w:rFonts w:cs="Calibri"/>
                <w:color w:val="000000"/>
                <w:sz w:val="20"/>
                <w:szCs w:val="18"/>
                <w:lang w:val="bg-BG"/>
              </w:rPr>
            </w:pPr>
            <w:r w:rsidRPr="009425D3">
              <w:rPr>
                <w:rFonts w:cs="Calibri"/>
                <w:color w:val="000000"/>
                <w:sz w:val="20"/>
                <w:szCs w:val="18"/>
                <w:lang w:val="bg-BG"/>
              </w:rPr>
              <w:t>Оряхово</w:t>
            </w:r>
          </w:p>
        </w:tc>
        <w:tc>
          <w:tcPr>
            <w:tcW w:w="6501" w:type="dxa"/>
            <w:tcBorders>
              <w:top w:val="nil"/>
              <w:left w:val="nil"/>
              <w:bottom w:val="single" w:sz="8" w:space="0" w:color="auto"/>
              <w:right w:val="single" w:sz="8" w:space="0" w:color="auto"/>
            </w:tcBorders>
            <w:noWrap/>
            <w:vAlign w:val="bottom"/>
            <w:hideMark/>
          </w:tcPr>
          <w:p w:rsidR="009425D3" w:rsidRPr="009425D3" w:rsidRDefault="009425D3" w:rsidP="009425D3">
            <w:pPr>
              <w:autoSpaceDE/>
              <w:autoSpaceDN/>
              <w:spacing w:line="240" w:lineRule="auto"/>
              <w:ind w:firstLine="0"/>
              <w:jc w:val="center"/>
              <w:rPr>
                <w:rFonts w:cs="Calibri"/>
                <w:sz w:val="20"/>
                <w:szCs w:val="18"/>
                <w:lang w:val="bg-BG"/>
              </w:rPr>
            </w:pPr>
            <w:r w:rsidRPr="009425D3">
              <w:rPr>
                <w:rFonts w:cs="Calibri"/>
                <w:sz w:val="20"/>
                <w:szCs w:val="18"/>
                <w:lang w:val="bg-BG"/>
              </w:rPr>
              <w:t>224</w:t>
            </w:r>
          </w:p>
        </w:tc>
      </w:tr>
    </w:tbl>
    <w:p w:rsidR="009425D3" w:rsidRPr="009425D3" w:rsidRDefault="009425D3" w:rsidP="009425D3">
      <w:pPr>
        <w:autoSpaceDE/>
        <w:autoSpaceDN/>
        <w:spacing w:after="160" w:line="256" w:lineRule="auto"/>
        <w:ind w:right="192" w:firstLine="0"/>
        <w:jc w:val="right"/>
        <w:rPr>
          <w:rFonts w:ascii="Calibri Light" w:eastAsia="Calibri" w:hAnsi="Calibri Light"/>
          <w:sz w:val="20"/>
          <w:szCs w:val="20"/>
          <w:lang w:val="bg-BG" w:eastAsia="en-US"/>
        </w:rPr>
      </w:pPr>
      <w:r w:rsidRPr="009425D3">
        <w:rPr>
          <w:rFonts w:ascii="Calibri Light" w:eastAsia="Calibri" w:hAnsi="Calibri Light"/>
          <w:sz w:val="20"/>
          <w:szCs w:val="20"/>
          <w:lang w:val="bg-BG" w:eastAsia="en-US"/>
        </w:rPr>
        <w:t>Източник: ФС по данни на МФ</w:t>
      </w:r>
    </w:p>
    <w:p w:rsidR="009425D3" w:rsidRPr="009425D3" w:rsidRDefault="009425D3" w:rsidP="009425D3">
      <w:pPr>
        <w:autoSpaceDE/>
        <w:autoSpaceDN/>
        <w:ind w:firstLine="708"/>
        <w:rPr>
          <w:rFonts w:ascii="Times New Roman" w:eastAsia="Calibri" w:hAnsi="Times New Roman"/>
          <w:b/>
          <w:sz w:val="24"/>
          <w:lang w:val="bg-BG" w:eastAsia="en-US"/>
        </w:rPr>
      </w:pPr>
      <w:r w:rsidRPr="009425D3">
        <w:rPr>
          <w:rFonts w:ascii="Times New Roman" w:eastAsia="Calibri" w:hAnsi="Times New Roman"/>
          <w:b/>
          <w:sz w:val="24"/>
          <w:lang w:val="bg-BG" w:eastAsia="en-US"/>
        </w:rPr>
        <w:t>Вътрешен ред и сигурност</w:t>
      </w:r>
    </w:p>
    <w:p w:rsidR="009425D3" w:rsidRPr="009425D3" w:rsidRDefault="009425D3" w:rsidP="009425D3">
      <w:pPr>
        <w:autoSpaceDE/>
        <w:autoSpaceDN/>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t>Разходите за вътрешен ред и сигурност в България като дял от БВП са едни от най-високите в ЕС – 2,6% при средно за ЕС и еврозоната 1,7% (Евростат, 2023</w:t>
      </w:r>
      <w:r w:rsidR="00D250A8">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 xml:space="preserve">г.). </w:t>
      </w:r>
    </w:p>
    <w:p w:rsidR="009425D3" w:rsidRPr="009425D3" w:rsidRDefault="009425D3" w:rsidP="009425D3">
      <w:pPr>
        <w:autoSpaceDE/>
        <w:autoSpaceDN/>
        <w:spacing w:line="336" w:lineRule="auto"/>
        <w:ind w:firstLine="0"/>
        <w:jc w:val="center"/>
        <w:rPr>
          <w:rFonts w:ascii="Calibri Light" w:eastAsia="Calibri" w:hAnsi="Calibri Light"/>
          <w:b/>
          <w:sz w:val="20"/>
          <w:szCs w:val="20"/>
          <w:lang w:val="ru-RU" w:eastAsia="en-US"/>
        </w:rPr>
      </w:pPr>
      <w:r w:rsidRPr="009425D3">
        <w:rPr>
          <w:rFonts w:ascii="Calibri Light" w:eastAsia="Calibri" w:hAnsi="Calibri Light"/>
          <w:b/>
          <w:sz w:val="20"/>
          <w:szCs w:val="20"/>
          <w:lang w:val="bg-BG" w:eastAsia="en-US"/>
        </w:rPr>
        <w:t xml:space="preserve">Граф. </w:t>
      </w:r>
      <w:r w:rsidRPr="009425D3">
        <w:rPr>
          <w:rFonts w:ascii="Calibri Light" w:eastAsia="Calibri" w:hAnsi="Calibri Light"/>
          <w:b/>
          <w:sz w:val="20"/>
          <w:szCs w:val="20"/>
          <w:lang w:val="ru-RU" w:eastAsia="en-US"/>
        </w:rPr>
        <w:t>5</w:t>
      </w:r>
      <w:r w:rsidRPr="009425D3">
        <w:rPr>
          <w:rFonts w:eastAsia="Calibri"/>
          <w:sz w:val="22"/>
          <w:szCs w:val="22"/>
          <w:lang w:val="ru-RU" w:eastAsia="en-US"/>
        </w:rPr>
        <w:t xml:space="preserve"> </w:t>
      </w:r>
      <w:r w:rsidRPr="009425D3">
        <w:rPr>
          <w:rFonts w:ascii="Calibri Light" w:eastAsia="Calibri" w:hAnsi="Calibri Light"/>
          <w:b/>
          <w:sz w:val="20"/>
          <w:szCs w:val="20"/>
          <w:lang w:val="bg-BG" w:eastAsia="en-US"/>
        </w:rPr>
        <w:t>Разходи за вътрешен ред и сигурност като дял от БВП</w:t>
      </w:r>
    </w:p>
    <w:p w:rsidR="009425D3" w:rsidRPr="009425D3" w:rsidRDefault="009425D3" w:rsidP="00423AB0">
      <w:pPr>
        <w:autoSpaceDE/>
        <w:autoSpaceDN/>
        <w:ind w:firstLine="0"/>
        <w:jc w:val="center"/>
        <w:rPr>
          <w:rFonts w:ascii="Times New Roman" w:eastAsia="Calibri" w:hAnsi="Times New Roman"/>
          <w:sz w:val="24"/>
          <w:lang w:val="en-US" w:eastAsia="en-US"/>
        </w:rPr>
      </w:pPr>
      <w:r w:rsidRPr="009425D3">
        <w:rPr>
          <w:rFonts w:eastAsia="Calibri"/>
          <w:noProof/>
          <w:sz w:val="22"/>
          <w:szCs w:val="22"/>
          <w:lang w:val="bg-BG" w:eastAsia="en-US"/>
        </w:rPr>
        <w:drawing>
          <wp:inline distT="0" distB="0" distL="0" distR="0" wp14:anchorId="06C70EB7" wp14:editId="2CCB4308">
            <wp:extent cx="6572250" cy="388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tacked vertical bar chart showing the total general government expenditure on public order and safety for the year 2023. Each bar is divided into the separate public order and safety categories with the data presented as percentage of GDP for the EU, the euro area, the EU Member States and some of the EFTA countries."/>
                    <pic:cNvPicPr>
                      <a:picLocks noChangeAspect="1" noChangeArrowheads="1"/>
                    </pic:cNvPicPr>
                  </pic:nvPicPr>
                  <pic:blipFill rotWithShape="1">
                    <a:blip r:embed="rId12">
                      <a:extLst>
                        <a:ext uri="{28A0092B-C50C-407E-A947-70E740481C1C}">
                          <a14:useLocalDpi xmlns:a14="http://schemas.microsoft.com/office/drawing/2010/main" val="0"/>
                        </a:ext>
                      </a:extLst>
                    </a:blip>
                    <a:srcRect l="713" r="780" b="1205"/>
                    <a:stretch/>
                  </pic:blipFill>
                  <pic:spPr bwMode="auto">
                    <a:xfrm>
                      <a:off x="0" y="0"/>
                      <a:ext cx="6584001" cy="3893148"/>
                    </a:xfrm>
                    <a:prstGeom prst="rect">
                      <a:avLst/>
                    </a:prstGeom>
                    <a:noFill/>
                    <a:ln>
                      <a:noFill/>
                    </a:ln>
                    <a:extLst>
                      <a:ext uri="{53640926-AAD7-44D8-BBD7-CCE9431645EC}">
                        <a14:shadowObscured xmlns:a14="http://schemas.microsoft.com/office/drawing/2010/main"/>
                      </a:ext>
                    </a:extLst>
                  </pic:spPr>
                </pic:pic>
              </a:graphicData>
            </a:graphic>
          </wp:inline>
        </w:drawing>
      </w:r>
    </w:p>
    <w:p w:rsidR="009425D3" w:rsidRPr="009425D3" w:rsidRDefault="009425D3" w:rsidP="009425D3">
      <w:pPr>
        <w:autoSpaceDE/>
        <w:autoSpaceDN/>
        <w:spacing w:after="160" w:line="256" w:lineRule="auto"/>
        <w:ind w:right="192" w:firstLine="0"/>
        <w:jc w:val="right"/>
        <w:rPr>
          <w:rFonts w:ascii="Calibri Light" w:eastAsia="Calibri" w:hAnsi="Calibri Light"/>
          <w:sz w:val="20"/>
          <w:szCs w:val="20"/>
          <w:lang w:val="bg-BG" w:eastAsia="en-US"/>
        </w:rPr>
      </w:pPr>
      <w:r w:rsidRPr="009425D3">
        <w:rPr>
          <w:rFonts w:ascii="Calibri Light" w:eastAsia="Calibri" w:hAnsi="Calibri Light"/>
          <w:sz w:val="20"/>
          <w:szCs w:val="20"/>
          <w:lang w:val="bg-BG" w:eastAsia="en-US"/>
        </w:rPr>
        <w:t>Източник: Евростат</w:t>
      </w:r>
    </w:p>
    <w:p w:rsidR="009425D3" w:rsidRPr="009425D3" w:rsidRDefault="009425D3" w:rsidP="009425D3">
      <w:pPr>
        <w:autoSpaceDE/>
        <w:autoSpaceDN/>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lastRenderedPageBreak/>
        <w:t>От графиката е видно, че разходите за „Правосъдие“ у нас са най-високи в целия ЕС (0,7% от БВП, при 0,3% за ЕС), следвани от разходите за „Полиция“ (1,3% от БВП, при 0,9% за ЕС).</w:t>
      </w:r>
      <w:r w:rsidRPr="009425D3">
        <w:rPr>
          <w:rFonts w:eastAsia="Calibri"/>
          <w:sz w:val="22"/>
          <w:szCs w:val="22"/>
          <w:lang w:val="bg-BG" w:eastAsia="en-US"/>
        </w:rPr>
        <w:t xml:space="preserve"> </w:t>
      </w:r>
      <w:r w:rsidRPr="009425D3">
        <w:rPr>
          <w:rFonts w:ascii="Times New Roman" w:eastAsia="Calibri" w:hAnsi="Times New Roman"/>
          <w:sz w:val="24"/>
          <w:lang w:val="bg-BG" w:eastAsia="en-US"/>
        </w:rPr>
        <w:t>Съгласно отчета за изпълнението на бюджета за 2024</w:t>
      </w:r>
      <w:r w:rsidR="00D250A8">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разходите за „Вътрешен ред и сигурност“ представляват 2,76% от БВП, а за отбрана 1,6% от БВП.</w:t>
      </w:r>
    </w:p>
    <w:p w:rsidR="009425D3" w:rsidRPr="009425D3" w:rsidRDefault="009425D3" w:rsidP="009425D3">
      <w:pPr>
        <w:autoSpaceDE/>
        <w:autoSpaceDN/>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t>В бюджета за 2025</w:t>
      </w:r>
      <w:r w:rsidR="00D250A8">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имаше драстично увеличение на разходите за персонал в МВР и останалите силови ведомства. На фона на високите разходи</w:t>
      </w:r>
      <w:r w:rsidR="0054164F">
        <w:rPr>
          <w:rFonts w:ascii="Times New Roman" w:eastAsia="Calibri" w:hAnsi="Times New Roman"/>
          <w:sz w:val="24"/>
          <w:lang w:val="bg-BG" w:eastAsia="en-US"/>
        </w:rPr>
        <w:t>,</w:t>
      </w:r>
      <w:r w:rsidRPr="009425D3">
        <w:rPr>
          <w:rFonts w:ascii="Times New Roman" w:eastAsia="Calibri" w:hAnsi="Times New Roman"/>
          <w:sz w:val="24"/>
          <w:lang w:val="bg-BG" w:eastAsia="en-US"/>
        </w:rPr>
        <w:t xml:space="preserve"> доверието на гражданите в системата намалява все повече. Обезпечеността с полицаи на глава от населението нараства през последните години, при намаляващ брой на населението. През 2022</w:t>
      </w:r>
      <w:r w:rsidR="00D250A8">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полицейските служители в България са били 421 на 100 000 души (28 800), а през 2015</w:t>
      </w:r>
      <w:r w:rsidR="00D250A8">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са били 312 (22 465) – увеличение с 28% за 7 години. Показателят от 312 полицаи е много близо до средния за ЕС (313 полицаи) и малко над средната стойност от 300 полицаи в световен мащаб (ООН, 2006</w:t>
      </w:r>
      <w:r w:rsidR="00D250A8">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Щатната численост на МВР към 30 юни е 55 000 щата, от които 5 700 незаети (от тях 27 000 щата в областни дирекции на МВР, 8 700 в Пожарна безопасност, 8 700 в Гранична полиция). На графиката по-долу се вижда разпределението на ресурсите на МВР по РУ и натовареността по области.</w:t>
      </w:r>
    </w:p>
    <w:p w:rsidR="009425D3" w:rsidRPr="009425D3" w:rsidRDefault="009425D3" w:rsidP="009425D3">
      <w:pPr>
        <w:autoSpaceDE/>
        <w:autoSpaceDN/>
        <w:spacing w:line="336" w:lineRule="auto"/>
        <w:ind w:firstLine="0"/>
        <w:jc w:val="center"/>
        <w:rPr>
          <w:rFonts w:ascii="Calibri Light" w:eastAsia="Calibri" w:hAnsi="Calibri Light"/>
          <w:b/>
          <w:sz w:val="20"/>
          <w:szCs w:val="20"/>
          <w:lang w:val="ru-RU" w:eastAsia="en-US"/>
        </w:rPr>
      </w:pPr>
      <w:r w:rsidRPr="009425D3">
        <w:rPr>
          <w:rFonts w:ascii="Calibri Light" w:eastAsia="Calibri" w:hAnsi="Calibri Light"/>
          <w:b/>
          <w:sz w:val="20"/>
          <w:szCs w:val="20"/>
          <w:lang w:val="bg-BG" w:eastAsia="en-US"/>
        </w:rPr>
        <w:t xml:space="preserve">Граф. </w:t>
      </w:r>
      <w:r w:rsidR="00555AFD">
        <w:rPr>
          <w:rFonts w:ascii="Calibri Light" w:eastAsia="Calibri" w:hAnsi="Calibri Light"/>
          <w:b/>
          <w:sz w:val="20"/>
          <w:szCs w:val="20"/>
          <w:lang w:val="ru-RU" w:eastAsia="en-US"/>
        </w:rPr>
        <w:t>6</w:t>
      </w:r>
      <w:r w:rsidRPr="009425D3">
        <w:rPr>
          <w:rFonts w:eastAsia="Calibri"/>
          <w:sz w:val="22"/>
          <w:szCs w:val="22"/>
          <w:lang w:val="ru-RU" w:eastAsia="en-US"/>
        </w:rPr>
        <w:t xml:space="preserve"> </w:t>
      </w:r>
      <w:r w:rsidRPr="009425D3">
        <w:rPr>
          <w:rFonts w:ascii="Calibri Light" w:eastAsia="Calibri" w:hAnsi="Calibri Light"/>
          <w:b/>
          <w:sz w:val="20"/>
          <w:szCs w:val="20"/>
          <w:lang w:val="bg-BG" w:eastAsia="en-US"/>
        </w:rPr>
        <w:t>Численост в РУ, население и престъпления.</w:t>
      </w:r>
    </w:p>
    <w:p w:rsidR="009425D3" w:rsidRPr="009425D3" w:rsidRDefault="009425D3" w:rsidP="00423AB0">
      <w:pPr>
        <w:autoSpaceDE/>
        <w:autoSpaceDN/>
        <w:ind w:firstLine="0"/>
        <w:jc w:val="center"/>
        <w:rPr>
          <w:rFonts w:ascii="Times New Roman" w:eastAsia="Calibri" w:hAnsi="Times New Roman"/>
          <w:sz w:val="24"/>
          <w:lang w:val="bg-BG" w:eastAsia="en-US"/>
        </w:rPr>
      </w:pPr>
      <w:r w:rsidRPr="009425D3">
        <w:rPr>
          <w:rFonts w:eastAsia="Calibri"/>
          <w:noProof/>
          <w:sz w:val="22"/>
          <w:szCs w:val="22"/>
          <w:lang w:val="bg-BG" w:eastAsia="en-US"/>
        </w:rPr>
        <w:drawing>
          <wp:inline distT="0" distB="0" distL="0" distR="0" wp14:anchorId="1D8C2420" wp14:editId="025CFC0F">
            <wp:extent cx="5762625" cy="4371975"/>
            <wp:effectExtent l="0" t="0" r="9525" b="9525"/>
            <wp:docPr id="6" name="Picture 6" descr="https://www.regionalprofiles.bg/var/images/Pictures_2024/RP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regionalprofiles.bg/var/images/Pictures_2024/RP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4371975"/>
                    </a:xfrm>
                    <a:prstGeom prst="rect">
                      <a:avLst/>
                    </a:prstGeom>
                    <a:noFill/>
                    <a:ln>
                      <a:noFill/>
                    </a:ln>
                  </pic:spPr>
                </pic:pic>
              </a:graphicData>
            </a:graphic>
          </wp:inline>
        </w:drawing>
      </w:r>
    </w:p>
    <w:p w:rsidR="009425D3" w:rsidRPr="009425D3" w:rsidRDefault="009425D3" w:rsidP="009425D3">
      <w:pPr>
        <w:autoSpaceDE/>
        <w:autoSpaceDN/>
        <w:spacing w:after="160" w:line="256" w:lineRule="auto"/>
        <w:ind w:right="192" w:firstLine="0"/>
        <w:jc w:val="right"/>
        <w:rPr>
          <w:rFonts w:ascii="Calibri Light" w:eastAsia="Calibri" w:hAnsi="Calibri Light"/>
          <w:sz w:val="20"/>
          <w:szCs w:val="20"/>
          <w:lang w:val="bg-BG" w:eastAsia="en-US"/>
        </w:rPr>
      </w:pPr>
      <w:r w:rsidRPr="009425D3">
        <w:rPr>
          <w:rFonts w:ascii="Calibri Light" w:eastAsia="Calibri" w:hAnsi="Calibri Light"/>
          <w:sz w:val="20"/>
          <w:szCs w:val="20"/>
          <w:lang w:val="bg-BG" w:eastAsia="en-US"/>
        </w:rPr>
        <w:t>Източник: ИПИ по данни на МВР и НСИ</w:t>
      </w:r>
    </w:p>
    <w:p w:rsidR="009425D3" w:rsidRDefault="009425D3" w:rsidP="009425D3">
      <w:pPr>
        <w:autoSpaceDE/>
        <w:autoSpaceDN/>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lastRenderedPageBreak/>
        <w:t>От графиката е видно, че е налице драстично несъответствие между численост и престъпления, което поражда потребности от оптимизиране на числения състав по области, особено наложително за Смолян, Кърджали, Варна, Пловдив и др.</w:t>
      </w:r>
    </w:p>
    <w:p w:rsidR="00423AB0" w:rsidRPr="009425D3" w:rsidRDefault="00423AB0" w:rsidP="009425D3">
      <w:pPr>
        <w:autoSpaceDE/>
        <w:autoSpaceDN/>
        <w:ind w:firstLine="709"/>
        <w:rPr>
          <w:rFonts w:ascii="Times New Roman" w:eastAsia="Calibri" w:hAnsi="Times New Roman"/>
          <w:sz w:val="24"/>
          <w:lang w:val="bg-BG" w:eastAsia="en-US"/>
        </w:rPr>
      </w:pPr>
    </w:p>
    <w:p w:rsidR="009425D3" w:rsidRPr="009425D3" w:rsidRDefault="009425D3" w:rsidP="009425D3">
      <w:pPr>
        <w:autoSpaceDE/>
        <w:autoSpaceDN/>
        <w:ind w:firstLine="709"/>
        <w:rPr>
          <w:rFonts w:ascii="Times New Roman" w:eastAsia="Calibri" w:hAnsi="Times New Roman"/>
          <w:b/>
          <w:bCs/>
          <w:sz w:val="24"/>
          <w:lang w:val="bg-BG" w:eastAsia="en-US"/>
        </w:rPr>
      </w:pPr>
      <w:r w:rsidRPr="009425D3">
        <w:rPr>
          <w:rFonts w:ascii="Times New Roman" w:eastAsia="Calibri" w:hAnsi="Times New Roman"/>
          <w:b/>
          <w:bCs/>
          <w:sz w:val="24"/>
          <w:lang w:val="bg-BG" w:eastAsia="en-US"/>
        </w:rPr>
        <w:t>Социални и здравни осигурителни вноски</w:t>
      </w:r>
    </w:p>
    <w:p w:rsidR="009425D3" w:rsidRPr="009425D3" w:rsidRDefault="009425D3" w:rsidP="009425D3">
      <w:pPr>
        <w:autoSpaceDE/>
        <w:autoSpaceDN/>
        <w:ind w:firstLine="709"/>
        <w:rPr>
          <w:rFonts w:ascii="Times New Roman" w:eastAsia="Calibri" w:hAnsi="Times New Roman"/>
          <w:sz w:val="24"/>
          <w:lang w:val="bg-BG" w:eastAsia="en-US"/>
        </w:rPr>
      </w:pPr>
      <w:r w:rsidRPr="009425D3">
        <w:rPr>
          <w:rFonts w:ascii="Times New Roman" w:eastAsia="Calibri" w:hAnsi="Times New Roman"/>
          <w:sz w:val="24"/>
          <w:lang w:val="bg-BG" w:eastAsia="en-US"/>
        </w:rPr>
        <w:t>Както споменахме в началото</w:t>
      </w:r>
      <w:r w:rsidR="0054164F">
        <w:rPr>
          <w:rFonts w:ascii="Times New Roman" w:eastAsia="Calibri" w:hAnsi="Times New Roman"/>
          <w:sz w:val="24"/>
          <w:lang w:val="bg-BG" w:eastAsia="en-US"/>
        </w:rPr>
        <w:t>,</w:t>
      </w:r>
      <w:r w:rsidRPr="009425D3">
        <w:rPr>
          <w:rFonts w:ascii="Times New Roman" w:eastAsia="Calibri" w:hAnsi="Times New Roman"/>
          <w:sz w:val="24"/>
          <w:lang w:val="bg-BG" w:eastAsia="en-US"/>
        </w:rPr>
        <w:t xml:space="preserve"> на 4,3 млрд. лв. възлизат разходите за осигуровки, които правят държавата и общините (2,6 млрд. лв. държавата и 1,35 млрд. лв. общините). Държавните служители от най-масовата трета категория труд през 2024</w:t>
      </w:r>
      <w:r w:rsidR="00D250A8">
        <w:rPr>
          <w:rFonts w:ascii="Times New Roman" w:eastAsia="Calibri" w:hAnsi="Times New Roman"/>
          <w:sz w:val="24"/>
          <w:lang w:val="bg-BG" w:eastAsia="en-US"/>
        </w:rPr>
        <w:t xml:space="preserve"> </w:t>
      </w:r>
      <w:r w:rsidRPr="009425D3">
        <w:rPr>
          <w:rFonts w:ascii="Times New Roman" w:eastAsia="Calibri" w:hAnsi="Times New Roman"/>
          <w:sz w:val="24"/>
          <w:lang w:val="bg-BG" w:eastAsia="en-US"/>
        </w:rPr>
        <w:t>г. са били 48 280 души, а средно-месечния им осигурителен доход е 2 432 лв. За тях държавата изцяло поема здравно-осигурителните вноски (24,3% осигуровки за ДОО и 8% здравна осигуровка), докато останалите служители поемат 13,78% от осигуровките за своя сметка. Привилегията за поемане на пълните осигуровки от страна на държавата е останала от времето, когато държавните служители не бяха добре платени. Към днешна дата тази привилегия е по-скоро несправедлива спрямо останалите служители в държавната администрация (на трудов договор) и служителите в частния сектор. Платените осигуровки за държавните служители, вкл. тези в съдебната система (без тези по Закона за МВР) възлизат на 385 млн. лв. Фискалният ефект за бюджета ще бъде около 200 млн. лв. по-малко осигуровки. Много по-голям ефект ще има</w:t>
      </w:r>
      <w:r w:rsidR="0054164F">
        <w:rPr>
          <w:rFonts w:ascii="Times New Roman" w:eastAsia="Calibri" w:hAnsi="Times New Roman"/>
          <w:sz w:val="24"/>
          <w:lang w:val="bg-BG" w:eastAsia="en-US"/>
        </w:rPr>
        <w:t>,</w:t>
      </w:r>
      <w:bookmarkStart w:id="1" w:name="_GoBack"/>
      <w:bookmarkEnd w:id="1"/>
      <w:r w:rsidRPr="009425D3">
        <w:rPr>
          <w:rFonts w:ascii="Times New Roman" w:eastAsia="Calibri" w:hAnsi="Times New Roman"/>
          <w:sz w:val="24"/>
          <w:lang w:val="bg-BG" w:eastAsia="en-US"/>
        </w:rPr>
        <w:t xml:space="preserve"> ако полицаите и военните служители поемат част от осигуровките си за своя сметка, както останалите служители (към момента държавата им плаща 73,3% осигуровки). Няма икономическа логика в това едни служители да плащат лични осигурителни вноски, а други да не плащат. Нещо повече, техните вноски (защото те черпят осигурителни права) се плащат от държавата, т.е. от данъците на всички. </w:t>
      </w:r>
    </w:p>
    <w:p w:rsidR="009D36DF" w:rsidRPr="00454D58" w:rsidRDefault="009D36DF" w:rsidP="00032465">
      <w:pPr>
        <w:tabs>
          <w:tab w:val="left" w:pos="3240"/>
          <w:tab w:val="left" w:pos="3870"/>
        </w:tabs>
        <w:ind w:firstLine="0"/>
        <w:rPr>
          <w:rFonts w:ascii="Times New Roman" w:hAnsi="Times New Roman"/>
          <w:sz w:val="24"/>
          <w:lang w:val="bg-BG"/>
        </w:rPr>
      </w:pPr>
    </w:p>
    <w:sectPr w:rsidR="009D36DF" w:rsidRPr="00454D58" w:rsidSect="009425D3">
      <w:footerReference w:type="default" r:id="rId14"/>
      <w:headerReference w:type="first" r:id="rId15"/>
      <w:footerReference w:type="first" r:id="rId16"/>
      <w:pgSz w:w="11906" w:h="16838" w:code="9"/>
      <w:pgMar w:top="1134" w:right="1274" w:bottom="1134" w:left="1134" w:header="420" w:footer="3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6B0" w:rsidRDefault="00BA16B0">
      <w:r>
        <w:separator/>
      </w:r>
    </w:p>
  </w:endnote>
  <w:endnote w:type="continuationSeparator" w:id="0">
    <w:p w:rsidR="00BA16B0" w:rsidRDefault="00BA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003505"/>
      <w:docPartObj>
        <w:docPartGallery w:val="Page Numbers (Bottom of Page)"/>
        <w:docPartUnique/>
      </w:docPartObj>
    </w:sdtPr>
    <w:sdtEndPr>
      <w:rPr>
        <w:noProof/>
      </w:rPr>
    </w:sdtEndPr>
    <w:sdtContent>
      <w:p w:rsidR="00032465" w:rsidRDefault="000324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B491B" w:rsidRDefault="000B4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5453703"/>
      <w:docPartObj>
        <w:docPartGallery w:val="Page Numbers (Bottom of Page)"/>
        <w:docPartUnique/>
      </w:docPartObj>
    </w:sdtPr>
    <w:sdtEndPr>
      <w:rPr>
        <w:rFonts w:ascii="Times New Roman" w:hAnsi="Times New Roman"/>
        <w:noProof/>
        <w:sz w:val="24"/>
      </w:rPr>
    </w:sdtEndPr>
    <w:sdtContent>
      <w:p w:rsidR="001851CE" w:rsidRPr="001851CE" w:rsidRDefault="009425D3" w:rsidP="001851CE">
        <w:pPr>
          <w:pStyle w:val="Footer"/>
          <w:jc w:val="right"/>
          <w:rPr>
            <w:rFonts w:ascii="Times New Roman" w:hAnsi="Times New Roman"/>
            <w:noProof/>
            <w:sz w:val="24"/>
          </w:rPr>
        </w:pPr>
        <w:r>
          <w:fldChar w:fldCharType="begin"/>
        </w:r>
        <w:r>
          <w:instrText xml:space="preserve"> PAGE   \* MERGEFORMAT </w:instrText>
        </w:r>
        <w:r>
          <w:fldChar w:fldCharType="separate"/>
        </w:r>
        <w:r>
          <w:rPr>
            <w:noProof/>
          </w:rPr>
          <w:t>2</w:t>
        </w:r>
        <w:r>
          <w:rPr>
            <w:noProof/>
          </w:rPr>
          <w:fldChar w:fldCharType="end"/>
        </w:r>
      </w:p>
    </w:sdtContent>
  </w:sdt>
  <w:p w:rsidR="009425D3" w:rsidRDefault="00942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6B0" w:rsidRDefault="00BA16B0">
      <w:r>
        <w:separator/>
      </w:r>
    </w:p>
  </w:footnote>
  <w:footnote w:type="continuationSeparator" w:id="0">
    <w:p w:rsidR="00BA16B0" w:rsidRDefault="00BA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5E4" w:rsidRPr="005702F2" w:rsidRDefault="003B082E" w:rsidP="00DF3344">
    <w:pPr>
      <w:spacing w:line="240" w:lineRule="auto"/>
      <w:ind w:left="-284" w:right="72" w:firstLine="2411"/>
      <w:rPr>
        <w:rFonts w:ascii="Palatino Linotype" w:hAnsi="Palatino Linotype"/>
        <w:b/>
        <w:bCs/>
        <w:sz w:val="24"/>
        <w:szCs w:val="28"/>
        <w:lang w:val="bg-BG"/>
      </w:rPr>
    </w:pPr>
    <w:r w:rsidRPr="005702F2">
      <w:rPr>
        <w:rFonts w:ascii="Palatino Linotype" w:hAnsi="Palatino Linotype"/>
        <w:b/>
        <w:bCs/>
        <w:noProof/>
        <w:sz w:val="24"/>
        <w:szCs w:val="28"/>
        <w:lang w:val="en-US" w:eastAsia="en-US"/>
      </w:rPr>
      <w:drawing>
        <wp:anchor distT="0" distB="0" distL="114300" distR="114300" simplePos="0" relativeHeight="251657728" behindDoc="0" locked="0" layoutInCell="1" allowOverlap="1">
          <wp:simplePos x="0" y="0"/>
          <wp:positionH relativeFrom="column">
            <wp:posOffset>-53340</wp:posOffset>
          </wp:positionH>
          <wp:positionV relativeFrom="paragraph">
            <wp:posOffset>-142240</wp:posOffset>
          </wp:positionV>
          <wp:extent cx="1123950" cy="83883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838838"/>
                  </a:xfrm>
                  <a:prstGeom prst="rect">
                    <a:avLst/>
                  </a:prstGeom>
                  <a:noFill/>
                </pic:spPr>
              </pic:pic>
            </a:graphicData>
          </a:graphic>
          <wp14:sizeRelH relativeFrom="page">
            <wp14:pctWidth>0</wp14:pctWidth>
          </wp14:sizeRelH>
          <wp14:sizeRelV relativeFrom="page">
            <wp14:pctHeight>0</wp14:pctHeight>
          </wp14:sizeRelV>
        </wp:anchor>
      </w:drawing>
    </w:r>
    <w:r w:rsidR="00DF3344" w:rsidRPr="005702F2">
      <w:rPr>
        <w:rFonts w:ascii="Palatino Linotype" w:hAnsi="Palatino Linotype"/>
        <w:b/>
        <w:bCs/>
        <w:sz w:val="24"/>
        <w:szCs w:val="28"/>
        <w:lang w:val="bg-BG"/>
      </w:rPr>
      <w:t>РЕПУБЛИКА БЪЛГАРИЯ</w:t>
    </w:r>
  </w:p>
  <w:p w:rsidR="00D3356F" w:rsidRPr="005702F2" w:rsidRDefault="00D3356F" w:rsidP="00957640">
    <w:pPr>
      <w:pBdr>
        <w:top w:val="single" w:sz="4" w:space="1" w:color="auto"/>
      </w:pBdr>
      <w:spacing w:line="240" w:lineRule="auto"/>
      <w:ind w:left="2127" w:right="72" w:firstLine="0"/>
      <w:rPr>
        <w:rFonts w:ascii="Palatino Linotype" w:hAnsi="Palatino Linotype"/>
        <w:b/>
        <w:bCs/>
        <w:sz w:val="24"/>
        <w:szCs w:val="28"/>
        <w:lang w:val="bg-BG"/>
      </w:rPr>
    </w:pPr>
    <w:r w:rsidRPr="005702F2">
      <w:rPr>
        <w:rFonts w:ascii="Palatino Linotype" w:hAnsi="Palatino Linotype"/>
        <w:b/>
        <w:bCs/>
        <w:sz w:val="24"/>
        <w:szCs w:val="28"/>
        <w:lang w:val="bg-BG"/>
      </w:rPr>
      <w:t>ФИСКАЛЕН СЪВЕТ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91EF7"/>
    <w:multiLevelType w:val="hybridMultilevel"/>
    <w:tmpl w:val="FBB6145E"/>
    <w:lvl w:ilvl="0" w:tplc="930E0C7A">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 w15:restartNumberingAfterBreak="0">
    <w:nsid w:val="0FAE491D"/>
    <w:multiLevelType w:val="hybridMultilevel"/>
    <w:tmpl w:val="F4CCD086"/>
    <w:lvl w:ilvl="0" w:tplc="E56CF4B8">
      <w:start w:val="2025"/>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2917B89"/>
    <w:multiLevelType w:val="hybridMultilevel"/>
    <w:tmpl w:val="F32678D4"/>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19003931"/>
    <w:multiLevelType w:val="hybridMultilevel"/>
    <w:tmpl w:val="C554AE3E"/>
    <w:lvl w:ilvl="0" w:tplc="28CA5B8C">
      <w:start w:val="1"/>
      <w:numFmt w:val="decimal"/>
      <w:lvlText w:val="%1."/>
      <w:lvlJc w:val="left"/>
      <w:pPr>
        <w:tabs>
          <w:tab w:val="num" w:pos="1270"/>
        </w:tabs>
        <w:ind w:left="1270" w:hanging="360"/>
      </w:pPr>
      <w:rPr>
        <w:rFonts w:hint="default"/>
        <w:b w:val="0"/>
      </w:rPr>
    </w:lvl>
    <w:lvl w:ilvl="1" w:tplc="04020019" w:tentative="1">
      <w:start w:val="1"/>
      <w:numFmt w:val="lowerLetter"/>
      <w:lvlText w:val="%2."/>
      <w:lvlJc w:val="left"/>
      <w:pPr>
        <w:tabs>
          <w:tab w:val="num" w:pos="1990"/>
        </w:tabs>
        <w:ind w:left="1990" w:hanging="360"/>
      </w:pPr>
    </w:lvl>
    <w:lvl w:ilvl="2" w:tplc="0402001B" w:tentative="1">
      <w:start w:val="1"/>
      <w:numFmt w:val="lowerRoman"/>
      <w:lvlText w:val="%3."/>
      <w:lvlJc w:val="right"/>
      <w:pPr>
        <w:tabs>
          <w:tab w:val="num" w:pos="2710"/>
        </w:tabs>
        <w:ind w:left="2710" w:hanging="180"/>
      </w:pPr>
    </w:lvl>
    <w:lvl w:ilvl="3" w:tplc="0402000F" w:tentative="1">
      <w:start w:val="1"/>
      <w:numFmt w:val="decimal"/>
      <w:lvlText w:val="%4."/>
      <w:lvlJc w:val="left"/>
      <w:pPr>
        <w:tabs>
          <w:tab w:val="num" w:pos="3430"/>
        </w:tabs>
        <w:ind w:left="3430" w:hanging="360"/>
      </w:pPr>
    </w:lvl>
    <w:lvl w:ilvl="4" w:tplc="04020019" w:tentative="1">
      <w:start w:val="1"/>
      <w:numFmt w:val="lowerLetter"/>
      <w:lvlText w:val="%5."/>
      <w:lvlJc w:val="left"/>
      <w:pPr>
        <w:tabs>
          <w:tab w:val="num" w:pos="4150"/>
        </w:tabs>
        <w:ind w:left="4150" w:hanging="360"/>
      </w:pPr>
    </w:lvl>
    <w:lvl w:ilvl="5" w:tplc="0402001B" w:tentative="1">
      <w:start w:val="1"/>
      <w:numFmt w:val="lowerRoman"/>
      <w:lvlText w:val="%6."/>
      <w:lvlJc w:val="right"/>
      <w:pPr>
        <w:tabs>
          <w:tab w:val="num" w:pos="4870"/>
        </w:tabs>
        <w:ind w:left="4870" w:hanging="180"/>
      </w:pPr>
    </w:lvl>
    <w:lvl w:ilvl="6" w:tplc="0402000F" w:tentative="1">
      <w:start w:val="1"/>
      <w:numFmt w:val="decimal"/>
      <w:lvlText w:val="%7."/>
      <w:lvlJc w:val="left"/>
      <w:pPr>
        <w:tabs>
          <w:tab w:val="num" w:pos="5590"/>
        </w:tabs>
        <w:ind w:left="5590" w:hanging="360"/>
      </w:pPr>
    </w:lvl>
    <w:lvl w:ilvl="7" w:tplc="04020019" w:tentative="1">
      <w:start w:val="1"/>
      <w:numFmt w:val="lowerLetter"/>
      <w:lvlText w:val="%8."/>
      <w:lvlJc w:val="left"/>
      <w:pPr>
        <w:tabs>
          <w:tab w:val="num" w:pos="6310"/>
        </w:tabs>
        <w:ind w:left="6310" w:hanging="360"/>
      </w:pPr>
    </w:lvl>
    <w:lvl w:ilvl="8" w:tplc="0402001B" w:tentative="1">
      <w:start w:val="1"/>
      <w:numFmt w:val="lowerRoman"/>
      <w:lvlText w:val="%9."/>
      <w:lvlJc w:val="right"/>
      <w:pPr>
        <w:tabs>
          <w:tab w:val="num" w:pos="7030"/>
        </w:tabs>
        <w:ind w:left="7030" w:hanging="180"/>
      </w:pPr>
    </w:lvl>
  </w:abstractNum>
  <w:abstractNum w:abstractNumId="4" w15:restartNumberingAfterBreak="0">
    <w:nsid w:val="2E43729F"/>
    <w:multiLevelType w:val="hybridMultilevel"/>
    <w:tmpl w:val="027472E0"/>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2EA52F06"/>
    <w:multiLevelType w:val="hybridMultilevel"/>
    <w:tmpl w:val="523AE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8A0221"/>
    <w:multiLevelType w:val="hybridMultilevel"/>
    <w:tmpl w:val="307EC6F4"/>
    <w:lvl w:ilvl="0" w:tplc="FDF447AE">
      <w:start w:val="4"/>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6B1555E"/>
    <w:multiLevelType w:val="hybridMultilevel"/>
    <w:tmpl w:val="820A367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39F954E4"/>
    <w:multiLevelType w:val="hybridMultilevel"/>
    <w:tmpl w:val="CEFE63F4"/>
    <w:lvl w:ilvl="0" w:tplc="3EDCF252">
      <w:start w:val="1"/>
      <w:numFmt w:val="bullet"/>
      <w:lvlText w:val="-"/>
      <w:lvlJc w:val="left"/>
      <w:pPr>
        <w:tabs>
          <w:tab w:val="num" w:pos="1117"/>
        </w:tabs>
        <w:ind w:left="1117" w:hanging="397"/>
      </w:pPr>
      <w:rPr>
        <w:rFonts w:ascii="Times New Roman" w:eastAsia="Times New Roman" w:hAnsi="Times New Roman" w:cs="Times New Roman" w:hint="default"/>
      </w:rPr>
    </w:lvl>
    <w:lvl w:ilvl="1" w:tplc="04020003" w:tentative="1">
      <w:start w:val="1"/>
      <w:numFmt w:val="bullet"/>
      <w:lvlText w:val="o"/>
      <w:lvlJc w:val="left"/>
      <w:pPr>
        <w:tabs>
          <w:tab w:val="num" w:pos="1423"/>
        </w:tabs>
        <w:ind w:left="1423" w:hanging="360"/>
      </w:pPr>
      <w:rPr>
        <w:rFonts w:ascii="Courier New" w:hAnsi="Courier New" w:cs="Courier New" w:hint="default"/>
      </w:rPr>
    </w:lvl>
    <w:lvl w:ilvl="2" w:tplc="04020005" w:tentative="1">
      <w:start w:val="1"/>
      <w:numFmt w:val="bullet"/>
      <w:lvlText w:val=""/>
      <w:lvlJc w:val="left"/>
      <w:pPr>
        <w:tabs>
          <w:tab w:val="num" w:pos="2143"/>
        </w:tabs>
        <w:ind w:left="2143" w:hanging="360"/>
      </w:pPr>
      <w:rPr>
        <w:rFonts w:ascii="Wingdings" w:hAnsi="Wingdings" w:hint="default"/>
      </w:rPr>
    </w:lvl>
    <w:lvl w:ilvl="3" w:tplc="04020001" w:tentative="1">
      <w:start w:val="1"/>
      <w:numFmt w:val="bullet"/>
      <w:lvlText w:val=""/>
      <w:lvlJc w:val="left"/>
      <w:pPr>
        <w:tabs>
          <w:tab w:val="num" w:pos="2863"/>
        </w:tabs>
        <w:ind w:left="2863" w:hanging="360"/>
      </w:pPr>
      <w:rPr>
        <w:rFonts w:ascii="Symbol" w:hAnsi="Symbol" w:hint="default"/>
      </w:rPr>
    </w:lvl>
    <w:lvl w:ilvl="4" w:tplc="04020003" w:tentative="1">
      <w:start w:val="1"/>
      <w:numFmt w:val="bullet"/>
      <w:lvlText w:val="o"/>
      <w:lvlJc w:val="left"/>
      <w:pPr>
        <w:tabs>
          <w:tab w:val="num" w:pos="3583"/>
        </w:tabs>
        <w:ind w:left="3583" w:hanging="360"/>
      </w:pPr>
      <w:rPr>
        <w:rFonts w:ascii="Courier New" w:hAnsi="Courier New" w:cs="Courier New" w:hint="default"/>
      </w:rPr>
    </w:lvl>
    <w:lvl w:ilvl="5" w:tplc="04020005" w:tentative="1">
      <w:start w:val="1"/>
      <w:numFmt w:val="bullet"/>
      <w:lvlText w:val=""/>
      <w:lvlJc w:val="left"/>
      <w:pPr>
        <w:tabs>
          <w:tab w:val="num" w:pos="4303"/>
        </w:tabs>
        <w:ind w:left="4303" w:hanging="360"/>
      </w:pPr>
      <w:rPr>
        <w:rFonts w:ascii="Wingdings" w:hAnsi="Wingdings" w:hint="default"/>
      </w:rPr>
    </w:lvl>
    <w:lvl w:ilvl="6" w:tplc="04020001" w:tentative="1">
      <w:start w:val="1"/>
      <w:numFmt w:val="bullet"/>
      <w:lvlText w:val=""/>
      <w:lvlJc w:val="left"/>
      <w:pPr>
        <w:tabs>
          <w:tab w:val="num" w:pos="5023"/>
        </w:tabs>
        <w:ind w:left="5023" w:hanging="360"/>
      </w:pPr>
      <w:rPr>
        <w:rFonts w:ascii="Symbol" w:hAnsi="Symbol" w:hint="default"/>
      </w:rPr>
    </w:lvl>
    <w:lvl w:ilvl="7" w:tplc="04020003" w:tentative="1">
      <w:start w:val="1"/>
      <w:numFmt w:val="bullet"/>
      <w:lvlText w:val="o"/>
      <w:lvlJc w:val="left"/>
      <w:pPr>
        <w:tabs>
          <w:tab w:val="num" w:pos="5743"/>
        </w:tabs>
        <w:ind w:left="5743" w:hanging="360"/>
      </w:pPr>
      <w:rPr>
        <w:rFonts w:ascii="Courier New" w:hAnsi="Courier New" w:cs="Courier New" w:hint="default"/>
      </w:rPr>
    </w:lvl>
    <w:lvl w:ilvl="8" w:tplc="04020005" w:tentative="1">
      <w:start w:val="1"/>
      <w:numFmt w:val="bullet"/>
      <w:lvlText w:val=""/>
      <w:lvlJc w:val="left"/>
      <w:pPr>
        <w:tabs>
          <w:tab w:val="num" w:pos="6463"/>
        </w:tabs>
        <w:ind w:left="6463" w:hanging="360"/>
      </w:pPr>
      <w:rPr>
        <w:rFonts w:ascii="Wingdings" w:hAnsi="Wingdings" w:hint="default"/>
      </w:rPr>
    </w:lvl>
  </w:abstractNum>
  <w:abstractNum w:abstractNumId="9" w15:restartNumberingAfterBreak="0">
    <w:nsid w:val="522C15E6"/>
    <w:multiLevelType w:val="hybridMultilevel"/>
    <w:tmpl w:val="2F6218DE"/>
    <w:lvl w:ilvl="0" w:tplc="13E222F4">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612B75EF"/>
    <w:multiLevelType w:val="hybridMultilevel"/>
    <w:tmpl w:val="28C0C3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0C3304D"/>
    <w:multiLevelType w:val="hybridMultilevel"/>
    <w:tmpl w:val="D0C6E718"/>
    <w:lvl w:ilvl="0" w:tplc="81C845B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8"/>
  </w:num>
  <w:num w:numId="2">
    <w:abstractNumId w:val="6"/>
  </w:num>
  <w:num w:numId="3">
    <w:abstractNumId w:val="3"/>
  </w:num>
  <w:num w:numId="4">
    <w:abstractNumId w:val="2"/>
  </w:num>
  <w:num w:numId="5">
    <w:abstractNumId w:val="0"/>
  </w:num>
  <w:num w:numId="6">
    <w:abstractNumId w:val="4"/>
  </w:num>
  <w:num w:numId="7">
    <w:abstractNumId w:val="7"/>
  </w:num>
  <w:num w:numId="8">
    <w:abstractNumId w:val="5"/>
  </w:num>
  <w:num w:numId="9">
    <w:abstractNumId w:val="1"/>
  </w:num>
  <w:num w:numId="10">
    <w:abstractNumId w:val="9"/>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3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D7"/>
    <w:rsid w:val="000027F5"/>
    <w:rsid w:val="00011DAA"/>
    <w:rsid w:val="0001335C"/>
    <w:rsid w:val="00016ADA"/>
    <w:rsid w:val="00032465"/>
    <w:rsid w:val="000376F0"/>
    <w:rsid w:val="00045921"/>
    <w:rsid w:val="00052462"/>
    <w:rsid w:val="000529CE"/>
    <w:rsid w:val="00062454"/>
    <w:rsid w:val="00062FDD"/>
    <w:rsid w:val="00065256"/>
    <w:rsid w:val="000714AE"/>
    <w:rsid w:val="00080B6F"/>
    <w:rsid w:val="00097ECB"/>
    <w:rsid w:val="000A44CA"/>
    <w:rsid w:val="000A786B"/>
    <w:rsid w:val="000B30E3"/>
    <w:rsid w:val="000B491B"/>
    <w:rsid w:val="000B60F7"/>
    <w:rsid w:val="000C5046"/>
    <w:rsid w:val="000C5362"/>
    <w:rsid w:val="000D1D07"/>
    <w:rsid w:val="000D3B4D"/>
    <w:rsid w:val="000E0006"/>
    <w:rsid w:val="000E4FDD"/>
    <w:rsid w:val="000E6043"/>
    <w:rsid w:val="000E6CF5"/>
    <w:rsid w:val="000E7D8A"/>
    <w:rsid w:val="000F1C2C"/>
    <w:rsid w:val="000F3065"/>
    <w:rsid w:val="000F6932"/>
    <w:rsid w:val="001003EC"/>
    <w:rsid w:val="0010555F"/>
    <w:rsid w:val="00115980"/>
    <w:rsid w:val="00117884"/>
    <w:rsid w:val="00125125"/>
    <w:rsid w:val="00127340"/>
    <w:rsid w:val="00132FF7"/>
    <w:rsid w:val="00133BBB"/>
    <w:rsid w:val="00140036"/>
    <w:rsid w:val="00140268"/>
    <w:rsid w:val="001407EA"/>
    <w:rsid w:val="001461FD"/>
    <w:rsid w:val="00146D05"/>
    <w:rsid w:val="001479D1"/>
    <w:rsid w:val="001524D6"/>
    <w:rsid w:val="001540D2"/>
    <w:rsid w:val="00161F8B"/>
    <w:rsid w:val="00166A07"/>
    <w:rsid w:val="00172E93"/>
    <w:rsid w:val="00184695"/>
    <w:rsid w:val="00184A7C"/>
    <w:rsid w:val="001851CE"/>
    <w:rsid w:val="00186E5E"/>
    <w:rsid w:val="001876D0"/>
    <w:rsid w:val="00193F84"/>
    <w:rsid w:val="00197699"/>
    <w:rsid w:val="001A086F"/>
    <w:rsid w:val="001A1344"/>
    <w:rsid w:val="001B2073"/>
    <w:rsid w:val="001B4158"/>
    <w:rsid w:val="001B6B41"/>
    <w:rsid w:val="001C7927"/>
    <w:rsid w:val="001C7C93"/>
    <w:rsid w:val="001D75BF"/>
    <w:rsid w:val="001E40EF"/>
    <w:rsid w:val="001F41D7"/>
    <w:rsid w:val="00217651"/>
    <w:rsid w:val="00222713"/>
    <w:rsid w:val="0022400B"/>
    <w:rsid w:val="002345D8"/>
    <w:rsid w:val="00244D9D"/>
    <w:rsid w:val="00253C90"/>
    <w:rsid w:val="0026653B"/>
    <w:rsid w:val="00266D50"/>
    <w:rsid w:val="0026735D"/>
    <w:rsid w:val="002760B0"/>
    <w:rsid w:val="00280CF4"/>
    <w:rsid w:val="0028513A"/>
    <w:rsid w:val="00285C54"/>
    <w:rsid w:val="0028708A"/>
    <w:rsid w:val="002959B5"/>
    <w:rsid w:val="002A3DEB"/>
    <w:rsid w:val="002B30B6"/>
    <w:rsid w:val="002B778E"/>
    <w:rsid w:val="002C5B6C"/>
    <w:rsid w:val="002D4416"/>
    <w:rsid w:val="002D5308"/>
    <w:rsid w:val="002D6716"/>
    <w:rsid w:val="002E0A6B"/>
    <w:rsid w:val="002E2610"/>
    <w:rsid w:val="002E48E7"/>
    <w:rsid w:val="002F64F4"/>
    <w:rsid w:val="002F7DA7"/>
    <w:rsid w:val="003059E8"/>
    <w:rsid w:val="00306644"/>
    <w:rsid w:val="00324E14"/>
    <w:rsid w:val="0034156C"/>
    <w:rsid w:val="00372C3D"/>
    <w:rsid w:val="00380157"/>
    <w:rsid w:val="00382999"/>
    <w:rsid w:val="00391213"/>
    <w:rsid w:val="0039340A"/>
    <w:rsid w:val="00393F59"/>
    <w:rsid w:val="003A64FB"/>
    <w:rsid w:val="003B082E"/>
    <w:rsid w:val="003B3314"/>
    <w:rsid w:val="003B35C6"/>
    <w:rsid w:val="003B3F8E"/>
    <w:rsid w:val="003B479D"/>
    <w:rsid w:val="003B7771"/>
    <w:rsid w:val="003C25B8"/>
    <w:rsid w:val="003C4FF2"/>
    <w:rsid w:val="003D2935"/>
    <w:rsid w:val="003D6EA1"/>
    <w:rsid w:val="003D7D6A"/>
    <w:rsid w:val="003D7FA3"/>
    <w:rsid w:val="003F1597"/>
    <w:rsid w:val="003F39BE"/>
    <w:rsid w:val="003F56CC"/>
    <w:rsid w:val="003F7664"/>
    <w:rsid w:val="00401813"/>
    <w:rsid w:val="004047E0"/>
    <w:rsid w:val="00404AC3"/>
    <w:rsid w:val="00406192"/>
    <w:rsid w:val="004113D1"/>
    <w:rsid w:val="00416A4F"/>
    <w:rsid w:val="004206ED"/>
    <w:rsid w:val="00423AB0"/>
    <w:rsid w:val="00423D5B"/>
    <w:rsid w:val="00432419"/>
    <w:rsid w:val="0043336F"/>
    <w:rsid w:val="00440E11"/>
    <w:rsid w:val="00454D58"/>
    <w:rsid w:val="00456323"/>
    <w:rsid w:val="00456511"/>
    <w:rsid w:val="00457E5B"/>
    <w:rsid w:val="00460040"/>
    <w:rsid w:val="00461D76"/>
    <w:rsid w:val="00476C4D"/>
    <w:rsid w:val="004800E3"/>
    <w:rsid w:val="004826CF"/>
    <w:rsid w:val="0049296D"/>
    <w:rsid w:val="004A461E"/>
    <w:rsid w:val="004A4704"/>
    <w:rsid w:val="004B1DED"/>
    <w:rsid w:val="004C0D98"/>
    <w:rsid w:val="004C0F2B"/>
    <w:rsid w:val="004C61B5"/>
    <w:rsid w:val="004D5A43"/>
    <w:rsid w:val="004E19C7"/>
    <w:rsid w:val="004E1FB9"/>
    <w:rsid w:val="004E3234"/>
    <w:rsid w:val="004E35D7"/>
    <w:rsid w:val="004E702B"/>
    <w:rsid w:val="004F4608"/>
    <w:rsid w:val="004F4B02"/>
    <w:rsid w:val="004F692D"/>
    <w:rsid w:val="00504302"/>
    <w:rsid w:val="00507097"/>
    <w:rsid w:val="00523155"/>
    <w:rsid w:val="005237EC"/>
    <w:rsid w:val="00524ACB"/>
    <w:rsid w:val="005335D2"/>
    <w:rsid w:val="00540F9B"/>
    <w:rsid w:val="0054164F"/>
    <w:rsid w:val="00541A5E"/>
    <w:rsid w:val="005505C5"/>
    <w:rsid w:val="00555AFD"/>
    <w:rsid w:val="00557BD8"/>
    <w:rsid w:val="00560984"/>
    <w:rsid w:val="00564211"/>
    <w:rsid w:val="005702F2"/>
    <w:rsid w:val="0058711C"/>
    <w:rsid w:val="005872F8"/>
    <w:rsid w:val="005902C6"/>
    <w:rsid w:val="00592581"/>
    <w:rsid w:val="00595837"/>
    <w:rsid w:val="00596793"/>
    <w:rsid w:val="00596983"/>
    <w:rsid w:val="00596E66"/>
    <w:rsid w:val="00597245"/>
    <w:rsid w:val="005A5B55"/>
    <w:rsid w:val="005B320C"/>
    <w:rsid w:val="005B3C6C"/>
    <w:rsid w:val="005B6C28"/>
    <w:rsid w:val="005B7B26"/>
    <w:rsid w:val="005C1B24"/>
    <w:rsid w:val="005C1C97"/>
    <w:rsid w:val="005C4CFA"/>
    <w:rsid w:val="005C7FCD"/>
    <w:rsid w:val="005D108E"/>
    <w:rsid w:val="005D778A"/>
    <w:rsid w:val="005E0EAE"/>
    <w:rsid w:val="005E226E"/>
    <w:rsid w:val="005F085D"/>
    <w:rsid w:val="005F1778"/>
    <w:rsid w:val="005F4827"/>
    <w:rsid w:val="00600AB1"/>
    <w:rsid w:val="006071C5"/>
    <w:rsid w:val="00615495"/>
    <w:rsid w:val="0061799B"/>
    <w:rsid w:val="00617B35"/>
    <w:rsid w:val="00623838"/>
    <w:rsid w:val="006304E8"/>
    <w:rsid w:val="00633922"/>
    <w:rsid w:val="006422CE"/>
    <w:rsid w:val="006533E5"/>
    <w:rsid w:val="0065593E"/>
    <w:rsid w:val="00657DA9"/>
    <w:rsid w:val="00657F18"/>
    <w:rsid w:val="00670F9C"/>
    <w:rsid w:val="00673FC6"/>
    <w:rsid w:val="00675423"/>
    <w:rsid w:val="006906E4"/>
    <w:rsid w:val="006966F9"/>
    <w:rsid w:val="00697B0E"/>
    <w:rsid w:val="006A4859"/>
    <w:rsid w:val="006A6197"/>
    <w:rsid w:val="006B1632"/>
    <w:rsid w:val="006C2834"/>
    <w:rsid w:val="006C3709"/>
    <w:rsid w:val="006C407A"/>
    <w:rsid w:val="006F6841"/>
    <w:rsid w:val="006F6B13"/>
    <w:rsid w:val="00706E2A"/>
    <w:rsid w:val="00706EF7"/>
    <w:rsid w:val="007071F8"/>
    <w:rsid w:val="007112F0"/>
    <w:rsid w:val="00712204"/>
    <w:rsid w:val="007131E1"/>
    <w:rsid w:val="00714D79"/>
    <w:rsid w:val="00717EF6"/>
    <w:rsid w:val="00720DE2"/>
    <w:rsid w:val="00725808"/>
    <w:rsid w:val="007345CC"/>
    <w:rsid w:val="00737BBA"/>
    <w:rsid w:val="00740251"/>
    <w:rsid w:val="007508D3"/>
    <w:rsid w:val="007529F2"/>
    <w:rsid w:val="00764FDC"/>
    <w:rsid w:val="00766A2F"/>
    <w:rsid w:val="0077002C"/>
    <w:rsid w:val="007925AF"/>
    <w:rsid w:val="00793DAD"/>
    <w:rsid w:val="00794ABA"/>
    <w:rsid w:val="00795E1C"/>
    <w:rsid w:val="00797604"/>
    <w:rsid w:val="00797FE0"/>
    <w:rsid w:val="007A18E5"/>
    <w:rsid w:val="007B19C0"/>
    <w:rsid w:val="007B1B31"/>
    <w:rsid w:val="007B446A"/>
    <w:rsid w:val="007B6110"/>
    <w:rsid w:val="007D04D9"/>
    <w:rsid w:val="007D1AD1"/>
    <w:rsid w:val="007E4530"/>
    <w:rsid w:val="007F68F4"/>
    <w:rsid w:val="00802A6F"/>
    <w:rsid w:val="00817134"/>
    <w:rsid w:val="00824597"/>
    <w:rsid w:val="00840AEF"/>
    <w:rsid w:val="00841658"/>
    <w:rsid w:val="00850966"/>
    <w:rsid w:val="00850C53"/>
    <w:rsid w:val="008608DD"/>
    <w:rsid w:val="00860D72"/>
    <w:rsid w:val="008625DB"/>
    <w:rsid w:val="00862A72"/>
    <w:rsid w:val="00865950"/>
    <w:rsid w:val="008724F7"/>
    <w:rsid w:val="008738CE"/>
    <w:rsid w:val="00874FE0"/>
    <w:rsid w:val="00877663"/>
    <w:rsid w:val="00890E26"/>
    <w:rsid w:val="0089371D"/>
    <w:rsid w:val="008B05E4"/>
    <w:rsid w:val="008B4ACA"/>
    <w:rsid w:val="008B4D1C"/>
    <w:rsid w:val="008C74DB"/>
    <w:rsid w:val="008D405C"/>
    <w:rsid w:val="008D49BD"/>
    <w:rsid w:val="008D49DE"/>
    <w:rsid w:val="008D67A3"/>
    <w:rsid w:val="008E7DD8"/>
    <w:rsid w:val="008F38B4"/>
    <w:rsid w:val="008F6EA5"/>
    <w:rsid w:val="00913E46"/>
    <w:rsid w:val="00916049"/>
    <w:rsid w:val="009202FC"/>
    <w:rsid w:val="00924D00"/>
    <w:rsid w:val="0092557E"/>
    <w:rsid w:val="00927CE7"/>
    <w:rsid w:val="009316CF"/>
    <w:rsid w:val="009326AC"/>
    <w:rsid w:val="0093645C"/>
    <w:rsid w:val="009372A7"/>
    <w:rsid w:val="00937628"/>
    <w:rsid w:val="0094119D"/>
    <w:rsid w:val="009425D3"/>
    <w:rsid w:val="00943D78"/>
    <w:rsid w:val="00945EF8"/>
    <w:rsid w:val="009515A3"/>
    <w:rsid w:val="00953155"/>
    <w:rsid w:val="00957640"/>
    <w:rsid w:val="00967C41"/>
    <w:rsid w:val="00971BBA"/>
    <w:rsid w:val="00980E6A"/>
    <w:rsid w:val="009846DA"/>
    <w:rsid w:val="009941DA"/>
    <w:rsid w:val="0099441B"/>
    <w:rsid w:val="00994685"/>
    <w:rsid w:val="00994DDF"/>
    <w:rsid w:val="009952BA"/>
    <w:rsid w:val="00995D0C"/>
    <w:rsid w:val="00996C55"/>
    <w:rsid w:val="009C1F4D"/>
    <w:rsid w:val="009C32D4"/>
    <w:rsid w:val="009C4E99"/>
    <w:rsid w:val="009C723A"/>
    <w:rsid w:val="009D36DF"/>
    <w:rsid w:val="009D56BC"/>
    <w:rsid w:val="009E1A45"/>
    <w:rsid w:val="009F3FEB"/>
    <w:rsid w:val="009F43BF"/>
    <w:rsid w:val="009F4941"/>
    <w:rsid w:val="00A11504"/>
    <w:rsid w:val="00A14018"/>
    <w:rsid w:val="00A17C72"/>
    <w:rsid w:val="00A2135B"/>
    <w:rsid w:val="00A22815"/>
    <w:rsid w:val="00A379D7"/>
    <w:rsid w:val="00A40566"/>
    <w:rsid w:val="00A44500"/>
    <w:rsid w:val="00A53329"/>
    <w:rsid w:val="00A700B3"/>
    <w:rsid w:val="00A71051"/>
    <w:rsid w:val="00A74EC9"/>
    <w:rsid w:val="00A7543A"/>
    <w:rsid w:val="00A81B77"/>
    <w:rsid w:val="00A82EC3"/>
    <w:rsid w:val="00A877AF"/>
    <w:rsid w:val="00A94966"/>
    <w:rsid w:val="00AA005A"/>
    <w:rsid w:val="00AA3151"/>
    <w:rsid w:val="00AC46DB"/>
    <w:rsid w:val="00AC7BC6"/>
    <w:rsid w:val="00AD1241"/>
    <w:rsid w:val="00AD34CD"/>
    <w:rsid w:val="00AE7856"/>
    <w:rsid w:val="00AF08BE"/>
    <w:rsid w:val="00AF7BF6"/>
    <w:rsid w:val="00B05309"/>
    <w:rsid w:val="00B125D9"/>
    <w:rsid w:val="00B1319F"/>
    <w:rsid w:val="00B22B20"/>
    <w:rsid w:val="00B27F74"/>
    <w:rsid w:val="00B30874"/>
    <w:rsid w:val="00B34B80"/>
    <w:rsid w:val="00B54844"/>
    <w:rsid w:val="00B5484D"/>
    <w:rsid w:val="00B557B5"/>
    <w:rsid w:val="00B74FBF"/>
    <w:rsid w:val="00B772A8"/>
    <w:rsid w:val="00B778C7"/>
    <w:rsid w:val="00BA155D"/>
    <w:rsid w:val="00BA16B0"/>
    <w:rsid w:val="00BA1A15"/>
    <w:rsid w:val="00BA429F"/>
    <w:rsid w:val="00BB2BBF"/>
    <w:rsid w:val="00BB37BF"/>
    <w:rsid w:val="00BB466F"/>
    <w:rsid w:val="00BD19AB"/>
    <w:rsid w:val="00BD659D"/>
    <w:rsid w:val="00BD7304"/>
    <w:rsid w:val="00BE524F"/>
    <w:rsid w:val="00BE5FCE"/>
    <w:rsid w:val="00BF75AB"/>
    <w:rsid w:val="00C00A38"/>
    <w:rsid w:val="00C15395"/>
    <w:rsid w:val="00C15D31"/>
    <w:rsid w:val="00C20777"/>
    <w:rsid w:val="00C25B85"/>
    <w:rsid w:val="00C303EC"/>
    <w:rsid w:val="00C3077C"/>
    <w:rsid w:val="00C31D1F"/>
    <w:rsid w:val="00C3520C"/>
    <w:rsid w:val="00C42EBF"/>
    <w:rsid w:val="00C475EF"/>
    <w:rsid w:val="00C55B90"/>
    <w:rsid w:val="00C6028B"/>
    <w:rsid w:val="00C63EEA"/>
    <w:rsid w:val="00C72359"/>
    <w:rsid w:val="00C73697"/>
    <w:rsid w:val="00C74045"/>
    <w:rsid w:val="00C74207"/>
    <w:rsid w:val="00C76068"/>
    <w:rsid w:val="00C76DA9"/>
    <w:rsid w:val="00C81297"/>
    <w:rsid w:val="00C83063"/>
    <w:rsid w:val="00C843AF"/>
    <w:rsid w:val="00C86C8E"/>
    <w:rsid w:val="00C86FD2"/>
    <w:rsid w:val="00C911A9"/>
    <w:rsid w:val="00C96324"/>
    <w:rsid w:val="00CA0575"/>
    <w:rsid w:val="00CB0496"/>
    <w:rsid w:val="00CC05F7"/>
    <w:rsid w:val="00CC20A0"/>
    <w:rsid w:val="00CC64ED"/>
    <w:rsid w:val="00CD2486"/>
    <w:rsid w:val="00CD3669"/>
    <w:rsid w:val="00CD612E"/>
    <w:rsid w:val="00CE5323"/>
    <w:rsid w:val="00CF0253"/>
    <w:rsid w:val="00CF70FD"/>
    <w:rsid w:val="00D07D7C"/>
    <w:rsid w:val="00D1058C"/>
    <w:rsid w:val="00D15A93"/>
    <w:rsid w:val="00D1772C"/>
    <w:rsid w:val="00D250A8"/>
    <w:rsid w:val="00D27093"/>
    <w:rsid w:val="00D3356F"/>
    <w:rsid w:val="00D35FB1"/>
    <w:rsid w:val="00D360BF"/>
    <w:rsid w:val="00D434B0"/>
    <w:rsid w:val="00D50D2B"/>
    <w:rsid w:val="00D50FBC"/>
    <w:rsid w:val="00D5286B"/>
    <w:rsid w:val="00D5638F"/>
    <w:rsid w:val="00D564C5"/>
    <w:rsid w:val="00D64809"/>
    <w:rsid w:val="00D66679"/>
    <w:rsid w:val="00D75BFB"/>
    <w:rsid w:val="00D85A13"/>
    <w:rsid w:val="00D96A65"/>
    <w:rsid w:val="00DA2DCC"/>
    <w:rsid w:val="00DA4E28"/>
    <w:rsid w:val="00DC291E"/>
    <w:rsid w:val="00DC2E1A"/>
    <w:rsid w:val="00DC73AE"/>
    <w:rsid w:val="00DD31CC"/>
    <w:rsid w:val="00DF31DB"/>
    <w:rsid w:val="00DF3344"/>
    <w:rsid w:val="00DF343F"/>
    <w:rsid w:val="00DF3B27"/>
    <w:rsid w:val="00DF4308"/>
    <w:rsid w:val="00DF5688"/>
    <w:rsid w:val="00E05814"/>
    <w:rsid w:val="00E060A0"/>
    <w:rsid w:val="00E07E71"/>
    <w:rsid w:val="00E14A1F"/>
    <w:rsid w:val="00E16750"/>
    <w:rsid w:val="00E17F19"/>
    <w:rsid w:val="00E23CFD"/>
    <w:rsid w:val="00E266AD"/>
    <w:rsid w:val="00E27787"/>
    <w:rsid w:val="00E32A52"/>
    <w:rsid w:val="00E32AAC"/>
    <w:rsid w:val="00E32CB8"/>
    <w:rsid w:val="00E368E4"/>
    <w:rsid w:val="00E372B1"/>
    <w:rsid w:val="00E434C1"/>
    <w:rsid w:val="00E43DAF"/>
    <w:rsid w:val="00E45D09"/>
    <w:rsid w:val="00E538F9"/>
    <w:rsid w:val="00E57C75"/>
    <w:rsid w:val="00E57E0D"/>
    <w:rsid w:val="00E64B3C"/>
    <w:rsid w:val="00E65784"/>
    <w:rsid w:val="00E740CB"/>
    <w:rsid w:val="00E85FE7"/>
    <w:rsid w:val="00E874DC"/>
    <w:rsid w:val="00E91531"/>
    <w:rsid w:val="00EB4B1E"/>
    <w:rsid w:val="00EB5A43"/>
    <w:rsid w:val="00EC192C"/>
    <w:rsid w:val="00EC47E2"/>
    <w:rsid w:val="00EC68DC"/>
    <w:rsid w:val="00ED0B61"/>
    <w:rsid w:val="00ED45D5"/>
    <w:rsid w:val="00ED6D8A"/>
    <w:rsid w:val="00F06A79"/>
    <w:rsid w:val="00F12B99"/>
    <w:rsid w:val="00F169EC"/>
    <w:rsid w:val="00F25200"/>
    <w:rsid w:val="00F25A92"/>
    <w:rsid w:val="00F25E40"/>
    <w:rsid w:val="00F40BA2"/>
    <w:rsid w:val="00F43B26"/>
    <w:rsid w:val="00F456D8"/>
    <w:rsid w:val="00F461B4"/>
    <w:rsid w:val="00F47B80"/>
    <w:rsid w:val="00F5321C"/>
    <w:rsid w:val="00F610AC"/>
    <w:rsid w:val="00F63550"/>
    <w:rsid w:val="00F72696"/>
    <w:rsid w:val="00F72AA8"/>
    <w:rsid w:val="00F73ACE"/>
    <w:rsid w:val="00F837F4"/>
    <w:rsid w:val="00F86A19"/>
    <w:rsid w:val="00F946C4"/>
    <w:rsid w:val="00F962FC"/>
    <w:rsid w:val="00F9694F"/>
    <w:rsid w:val="00FA4762"/>
    <w:rsid w:val="00FA6960"/>
    <w:rsid w:val="00FB12E6"/>
    <w:rsid w:val="00FB3A26"/>
    <w:rsid w:val="00FC488A"/>
    <w:rsid w:val="00FD2FBA"/>
    <w:rsid w:val="00FD3B0E"/>
    <w:rsid w:val="00FD45FF"/>
    <w:rsid w:val="00FE5918"/>
    <w:rsid w:val="00FF64B7"/>
    <w:rsid w:val="00FF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1A55D63"/>
  <w15:chartTrackingRefBased/>
  <w15:docId w15:val="{579631B5-89D6-4278-A5A9-7F55C14A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7640"/>
    <w:pPr>
      <w:autoSpaceDE w:val="0"/>
      <w:autoSpaceDN w:val="0"/>
      <w:spacing w:line="360" w:lineRule="auto"/>
      <w:ind w:firstLine="720"/>
      <w:jc w:val="both"/>
    </w:pPr>
    <w:rPr>
      <w:rFonts w:ascii="Calibri" w:hAnsi="Calibri"/>
      <w:sz w:val="26"/>
      <w:szCs w:val="24"/>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B77"/>
    <w:pPr>
      <w:tabs>
        <w:tab w:val="center" w:pos="4536"/>
        <w:tab w:val="right" w:pos="9072"/>
      </w:tabs>
    </w:pPr>
  </w:style>
  <w:style w:type="paragraph" w:styleId="Footer">
    <w:name w:val="footer"/>
    <w:basedOn w:val="Normal"/>
    <w:link w:val="FooterChar"/>
    <w:uiPriority w:val="99"/>
    <w:rsid w:val="00A81B77"/>
    <w:pPr>
      <w:tabs>
        <w:tab w:val="center" w:pos="4536"/>
        <w:tab w:val="right" w:pos="9072"/>
      </w:tabs>
    </w:pPr>
  </w:style>
  <w:style w:type="paragraph" w:styleId="BalloonText">
    <w:name w:val="Balloon Text"/>
    <w:basedOn w:val="Normal"/>
    <w:semiHidden/>
    <w:rsid w:val="002F64F4"/>
    <w:rPr>
      <w:rFonts w:ascii="Tahoma" w:hAnsi="Tahoma" w:cs="Tahoma"/>
      <w:sz w:val="16"/>
      <w:szCs w:val="16"/>
    </w:rPr>
  </w:style>
  <w:style w:type="character" w:styleId="Hyperlink">
    <w:name w:val="Hyperlink"/>
    <w:rsid w:val="002E0A6B"/>
    <w:rPr>
      <w:color w:val="0000FF"/>
      <w:u w:val="single"/>
    </w:rPr>
  </w:style>
  <w:style w:type="paragraph" w:styleId="ListParagraph">
    <w:name w:val="List Paragraph"/>
    <w:basedOn w:val="Normal"/>
    <w:uiPriority w:val="34"/>
    <w:qFormat/>
    <w:rsid w:val="00E91531"/>
    <w:pPr>
      <w:autoSpaceDE/>
      <w:autoSpaceDN/>
      <w:spacing w:after="200" w:line="276" w:lineRule="auto"/>
      <w:ind w:left="720" w:firstLine="0"/>
      <w:contextualSpacing/>
      <w:jc w:val="left"/>
    </w:pPr>
    <w:rPr>
      <w:rFonts w:eastAsia="Calibri"/>
      <w:sz w:val="22"/>
      <w:szCs w:val="22"/>
      <w:lang w:val="bg-BG" w:eastAsia="en-US"/>
    </w:rPr>
  </w:style>
  <w:style w:type="character" w:customStyle="1" w:styleId="a">
    <w:name w:val="Неразрешено споменаване"/>
    <w:uiPriority w:val="99"/>
    <w:semiHidden/>
    <w:unhideWhenUsed/>
    <w:rsid w:val="00A2135B"/>
    <w:rPr>
      <w:color w:val="605E5C"/>
      <w:shd w:val="clear" w:color="auto" w:fill="E1DFDD"/>
    </w:rPr>
  </w:style>
  <w:style w:type="character" w:customStyle="1" w:styleId="UnresolvedMention1">
    <w:name w:val="Unresolved Mention1"/>
    <w:uiPriority w:val="99"/>
    <w:semiHidden/>
    <w:unhideWhenUsed/>
    <w:rsid w:val="00596983"/>
    <w:rPr>
      <w:color w:val="605E5C"/>
      <w:shd w:val="clear" w:color="auto" w:fill="E1DFDD"/>
    </w:rPr>
  </w:style>
  <w:style w:type="character" w:customStyle="1" w:styleId="FooterChar">
    <w:name w:val="Footer Char"/>
    <w:basedOn w:val="DefaultParagraphFont"/>
    <w:link w:val="Footer"/>
    <w:uiPriority w:val="99"/>
    <w:rsid w:val="00032465"/>
    <w:rPr>
      <w:rFonts w:ascii="Calibri" w:hAnsi="Calibri"/>
      <w:sz w:val="26"/>
      <w:szCs w:val="24"/>
      <w:lang w:val="en-GB"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573005">
      <w:bodyDiv w:val="1"/>
      <w:marLeft w:val="0"/>
      <w:marRight w:val="0"/>
      <w:marTop w:val="0"/>
      <w:marBottom w:val="0"/>
      <w:divBdr>
        <w:top w:val="none" w:sz="0" w:space="0" w:color="auto"/>
        <w:left w:val="none" w:sz="0" w:space="0" w:color="auto"/>
        <w:bottom w:val="none" w:sz="0" w:space="0" w:color="auto"/>
        <w:right w:val="none" w:sz="0" w:space="0" w:color="auto"/>
      </w:divBdr>
    </w:div>
    <w:div w:id="1100687048">
      <w:bodyDiv w:val="1"/>
      <w:marLeft w:val="0"/>
      <w:marRight w:val="0"/>
      <w:marTop w:val="0"/>
      <w:marBottom w:val="0"/>
      <w:divBdr>
        <w:top w:val="none" w:sz="0" w:space="0" w:color="auto"/>
        <w:left w:val="none" w:sz="0" w:space="0" w:color="auto"/>
        <w:bottom w:val="none" w:sz="0" w:space="0" w:color="auto"/>
        <w:right w:val="none" w:sz="0" w:space="0" w:color="auto"/>
      </w:divBdr>
    </w:div>
    <w:div w:id="201309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etar.ignatiev\Documents\Annual\10.2025\Institution_Economy\NSI_Public_Sector.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Petar.ignatiev\Documents\Annual\10.2025\Institution_Economy\Municipalities_Perso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Sheet1!$E$24</c:f>
              <c:strCache>
                <c:ptCount val="1"/>
                <c:pt idx="0">
                  <c:v>ОБЩО</c:v>
                </c:pt>
              </c:strCache>
            </c:strRef>
          </c:tx>
          <c:spPr>
            <a:ln w="44450" cap="rnd">
              <a:solidFill>
                <a:schemeClr val="tx1"/>
              </a:solidFill>
              <a:round/>
            </a:ln>
            <a:effectLst/>
          </c:spPr>
          <c:marker>
            <c:symbol val="none"/>
          </c:marker>
          <c:cat>
            <c:strRef>
              <c:f>Sheet1!$D$25:$D$40</c:f>
              <c:strCach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strCache>
            </c:strRef>
          </c:cat>
          <c:val>
            <c:numRef>
              <c:f>Sheet1!$E$25:$E$40</c:f>
              <c:numCache>
                <c:formatCode>0.0%</c:formatCode>
                <c:ptCount val="16"/>
                <c:pt idx="0">
                  <c:v>7.5658529873177949E-2</c:v>
                </c:pt>
                <c:pt idx="1">
                  <c:v>-1.6055656493232359E-2</c:v>
                </c:pt>
                <c:pt idx="2">
                  <c:v>1.0919022053656182E-2</c:v>
                </c:pt>
                <c:pt idx="3">
                  <c:v>3.2147806867593332E-2</c:v>
                </c:pt>
                <c:pt idx="4">
                  <c:v>6.4636846675353105E-2</c:v>
                </c:pt>
                <c:pt idx="5">
                  <c:v>2.9907343718605175E-2</c:v>
                </c:pt>
                <c:pt idx="6">
                  <c:v>2.5661202333045228E-2</c:v>
                </c:pt>
                <c:pt idx="7">
                  <c:v>5.6136211641938785E-2</c:v>
                </c:pt>
                <c:pt idx="8">
                  <c:v>8.3081806353231771E-2</c:v>
                </c:pt>
                <c:pt idx="9">
                  <c:v>8.4173422452208338E-2</c:v>
                </c:pt>
                <c:pt idx="10">
                  <c:v>0.12221892927565628</c:v>
                </c:pt>
                <c:pt idx="11">
                  <c:v>0.11623954133757376</c:v>
                </c:pt>
                <c:pt idx="12">
                  <c:v>0.16294360386647208</c:v>
                </c:pt>
                <c:pt idx="13">
                  <c:v>9.7802170244326497E-2</c:v>
                </c:pt>
                <c:pt idx="14">
                  <c:v>0.16726923150442974</c:v>
                </c:pt>
                <c:pt idx="15">
                  <c:v>0.16498169676850891</c:v>
                </c:pt>
              </c:numCache>
            </c:numRef>
          </c:val>
          <c:smooth val="0"/>
          <c:extLst>
            <c:ext xmlns:c16="http://schemas.microsoft.com/office/drawing/2014/chart" uri="{C3380CC4-5D6E-409C-BE32-E72D297353CC}">
              <c16:uniqueId val="{00000000-DC3C-47B2-B01B-25FC2718FEC8}"/>
            </c:ext>
          </c:extLst>
        </c:ser>
        <c:ser>
          <c:idx val="1"/>
          <c:order val="1"/>
          <c:tx>
            <c:strRef>
              <c:f>Sheet1!$F$24</c:f>
              <c:strCache>
                <c:ptCount val="1"/>
                <c:pt idx="0">
                  <c:v>ДЪРЖАВНО УПРАВЛЕНИЕ</c:v>
                </c:pt>
              </c:strCache>
            </c:strRef>
          </c:tx>
          <c:spPr>
            <a:ln w="28575" cap="rnd">
              <a:solidFill>
                <a:srgbClr val="00B050"/>
              </a:solidFill>
              <a:round/>
            </a:ln>
            <a:effectLst/>
          </c:spPr>
          <c:marker>
            <c:symbol val="none"/>
          </c:marker>
          <c:cat>
            <c:strRef>
              <c:f>Sheet1!$D$25:$D$40</c:f>
              <c:strCach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strCache>
            </c:strRef>
          </c:cat>
          <c:val>
            <c:numRef>
              <c:f>Sheet1!$F$25:$F$40</c:f>
              <c:numCache>
                <c:formatCode>0.0%</c:formatCode>
                <c:ptCount val="16"/>
                <c:pt idx="0">
                  <c:v>5.0002008254985707E-2</c:v>
                </c:pt>
                <c:pt idx="1">
                  <c:v>-4.3725043289372073E-2</c:v>
                </c:pt>
                <c:pt idx="2">
                  <c:v>1.4760105359654408E-2</c:v>
                </c:pt>
                <c:pt idx="3">
                  <c:v>1.7325488384931007E-2</c:v>
                </c:pt>
                <c:pt idx="4">
                  <c:v>5.1390680034933807E-2</c:v>
                </c:pt>
                <c:pt idx="5">
                  <c:v>3.2836519563338835E-2</c:v>
                </c:pt>
                <c:pt idx="6">
                  <c:v>1.2681289721281847E-2</c:v>
                </c:pt>
                <c:pt idx="7">
                  <c:v>6.9311450645533998E-2</c:v>
                </c:pt>
                <c:pt idx="8">
                  <c:v>7.5797464763152814E-2</c:v>
                </c:pt>
                <c:pt idx="9">
                  <c:v>8.6635371436665193E-2</c:v>
                </c:pt>
                <c:pt idx="10">
                  <c:v>0.14437420617148961</c:v>
                </c:pt>
                <c:pt idx="11">
                  <c:v>0.13246260303481294</c:v>
                </c:pt>
                <c:pt idx="12">
                  <c:v>0.15765948971378127</c:v>
                </c:pt>
                <c:pt idx="13">
                  <c:v>8.4887873520923002E-2</c:v>
                </c:pt>
                <c:pt idx="14">
                  <c:v>0.15086542371007847</c:v>
                </c:pt>
                <c:pt idx="15">
                  <c:v>0.17286620933860769</c:v>
                </c:pt>
              </c:numCache>
            </c:numRef>
          </c:val>
          <c:smooth val="0"/>
          <c:extLst>
            <c:ext xmlns:c16="http://schemas.microsoft.com/office/drawing/2014/chart" uri="{C3380CC4-5D6E-409C-BE32-E72D297353CC}">
              <c16:uniqueId val="{00000001-DC3C-47B2-B01B-25FC2718FEC8}"/>
            </c:ext>
          </c:extLst>
        </c:ser>
        <c:ser>
          <c:idx val="2"/>
          <c:order val="2"/>
          <c:tx>
            <c:strRef>
              <c:f>Sheet1!$G$24</c:f>
              <c:strCache>
                <c:ptCount val="1"/>
                <c:pt idx="0">
                  <c:v>ОБРАЗОВАНИЕ</c:v>
                </c:pt>
              </c:strCache>
            </c:strRef>
          </c:tx>
          <c:spPr>
            <a:ln w="28575" cap="rnd">
              <a:solidFill>
                <a:srgbClr val="FF0000"/>
              </a:solidFill>
              <a:round/>
            </a:ln>
            <a:effectLst/>
          </c:spPr>
          <c:marker>
            <c:symbol val="none"/>
          </c:marker>
          <c:cat>
            <c:strRef>
              <c:f>Sheet1!$D$25:$D$40</c:f>
              <c:strCach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strCache>
            </c:strRef>
          </c:cat>
          <c:val>
            <c:numRef>
              <c:f>Sheet1!$G$25:$G$40</c:f>
              <c:numCache>
                <c:formatCode>0.0%</c:formatCode>
                <c:ptCount val="16"/>
                <c:pt idx="0">
                  <c:v>8.6008190485865013E-2</c:v>
                </c:pt>
                <c:pt idx="1">
                  <c:v>3.9015650642524505E-2</c:v>
                </c:pt>
                <c:pt idx="2">
                  <c:v>8.9686975928768425E-3</c:v>
                </c:pt>
                <c:pt idx="3">
                  <c:v>2.2921610871759847E-2</c:v>
                </c:pt>
                <c:pt idx="4">
                  <c:v>9.9404682652998858E-2</c:v>
                </c:pt>
                <c:pt idx="5">
                  <c:v>4.7469784054291086E-2</c:v>
                </c:pt>
                <c:pt idx="6">
                  <c:v>3.8160964019858433E-2</c:v>
                </c:pt>
                <c:pt idx="7">
                  <c:v>4.1212288977141381E-2</c:v>
                </c:pt>
                <c:pt idx="8">
                  <c:v>0.11440768625234643</c:v>
                </c:pt>
                <c:pt idx="9">
                  <c:v>9.6641001191087442E-2</c:v>
                </c:pt>
                <c:pt idx="10">
                  <c:v>0.15770631649137928</c:v>
                </c:pt>
                <c:pt idx="11">
                  <c:v>0.14735713253590921</c:v>
                </c:pt>
                <c:pt idx="12">
                  <c:v>0.1661086979437616</c:v>
                </c:pt>
                <c:pt idx="13">
                  <c:v>9.423297520600149E-2</c:v>
                </c:pt>
                <c:pt idx="14">
                  <c:v>0.19403538722811597</c:v>
                </c:pt>
                <c:pt idx="15">
                  <c:v>0.15369988841664542</c:v>
                </c:pt>
              </c:numCache>
            </c:numRef>
          </c:val>
          <c:smooth val="0"/>
          <c:extLst>
            <c:ext xmlns:c16="http://schemas.microsoft.com/office/drawing/2014/chart" uri="{C3380CC4-5D6E-409C-BE32-E72D297353CC}">
              <c16:uniqueId val="{00000002-DC3C-47B2-B01B-25FC2718FEC8}"/>
            </c:ext>
          </c:extLst>
        </c:ser>
        <c:ser>
          <c:idx val="3"/>
          <c:order val="3"/>
          <c:tx>
            <c:strRef>
              <c:f>Sheet1!$H$24</c:f>
              <c:strCache>
                <c:ptCount val="1"/>
                <c:pt idx="0">
                  <c:v>ХУМАННО ЗДРАВЕОПАЗВАНЕ И СОЦИАЛНА РАБОТА</c:v>
                </c:pt>
              </c:strCache>
            </c:strRef>
          </c:tx>
          <c:spPr>
            <a:ln w="28575" cap="rnd">
              <a:solidFill>
                <a:srgbClr val="0070C0"/>
              </a:solidFill>
              <a:round/>
            </a:ln>
            <a:effectLst/>
          </c:spPr>
          <c:marker>
            <c:symbol val="none"/>
          </c:marker>
          <c:cat>
            <c:strRef>
              <c:f>Sheet1!$D$25:$D$40</c:f>
              <c:strCach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strCache>
            </c:strRef>
          </c:cat>
          <c:val>
            <c:numRef>
              <c:f>Sheet1!$H$25:$H$40</c:f>
              <c:numCache>
                <c:formatCode>0.0%</c:formatCode>
                <c:ptCount val="16"/>
                <c:pt idx="0">
                  <c:v>0.13970790299799554</c:v>
                </c:pt>
                <c:pt idx="1">
                  <c:v>-1.0223095315822541E-2</c:v>
                </c:pt>
                <c:pt idx="2">
                  <c:v>3.4138454636254409E-2</c:v>
                </c:pt>
                <c:pt idx="3">
                  <c:v>5.0243509280613434E-2</c:v>
                </c:pt>
                <c:pt idx="4">
                  <c:v>8.2103050011252343E-2</c:v>
                </c:pt>
                <c:pt idx="5">
                  <c:v>5.269633657608102E-2</c:v>
                </c:pt>
                <c:pt idx="6">
                  <c:v>2.845560297275166E-2</c:v>
                </c:pt>
                <c:pt idx="7">
                  <c:v>5.8804672006712112E-2</c:v>
                </c:pt>
                <c:pt idx="8">
                  <c:v>5.9498231625882823E-2</c:v>
                </c:pt>
                <c:pt idx="9">
                  <c:v>8.267019560419199E-2</c:v>
                </c:pt>
                <c:pt idx="10">
                  <c:v>0.11337253501891947</c:v>
                </c:pt>
                <c:pt idx="11">
                  <c:v>0.18415008685890519</c:v>
                </c:pt>
                <c:pt idx="12">
                  <c:v>0.31954032521253711</c:v>
                </c:pt>
                <c:pt idx="13">
                  <c:v>6.8442957039944727E-2</c:v>
                </c:pt>
                <c:pt idx="14">
                  <c:v>0.16083874272595278</c:v>
                </c:pt>
                <c:pt idx="15">
                  <c:v>0.21589990294810432</c:v>
                </c:pt>
              </c:numCache>
            </c:numRef>
          </c:val>
          <c:smooth val="0"/>
          <c:extLst>
            <c:ext xmlns:c16="http://schemas.microsoft.com/office/drawing/2014/chart" uri="{C3380CC4-5D6E-409C-BE32-E72D297353CC}">
              <c16:uniqueId val="{00000003-DC3C-47B2-B01B-25FC2718FEC8}"/>
            </c:ext>
          </c:extLst>
        </c:ser>
        <c:dLbls>
          <c:showLegendKey val="0"/>
          <c:showVal val="0"/>
          <c:showCatName val="0"/>
          <c:showSerName val="0"/>
          <c:showPercent val="0"/>
          <c:showBubbleSize val="0"/>
        </c:dLbls>
        <c:smooth val="0"/>
        <c:axId val="1667478624"/>
        <c:axId val="1944889360"/>
      </c:lineChart>
      <c:catAx>
        <c:axId val="166747862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889360"/>
        <c:crosses val="autoZero"/>
        <c:auto val="1"/>
        <c:lblAlgn val="ctr"/>
        <c:lblOffset val="100"/>
        <c:noMultiLvlLbl val="0"/>
      </c:catAx>
      <c:valAx>
        <c:axId val="1944889360"/>
        <c:scaling>
          <c:orientation val="minMax"/>
          <c:min val="-5.000000000000001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478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Sheet1!$E$44</c:f>
              <c:strCache>
                <c:ptCount val="1"/>
                <c:pt idx="0">
                  <c:v>ДЪРЖАВНО УПРАВЛЕНИЕ</c:v>
                </c:pt>
              </c:strCache>
            </c:strRef>
          </c:tx>
          <c:spPr>
            <a:ln w="28575" cap="rnd">
              <a:solidFill>
                <a:srgbClr val="92D050"/>
              </a:solidFill>
              <a:round/>
            </a:ln>
            <a:effectLst/>
          </c:spPr>
          <c:marker>
            <c:symbol val="none"/>
          </c:marker>
          <c:cat>
            <c:strRef>
              <c:f>Sheet1!$D$45:$D$61</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Sheet1!$E$45:$E$61</c:f>
              <c:numCache>
                <c:formatCode>0.0</c:formatCode>
                <c:ptCount val="17"/>
                <c:pt idx="0">
                  <c:v>58.7732456614795</c:v>
                </c:pt>
                <c:pt idx="1">
                  <c:v>58.451260413285731</c:v>
                </c:pt>
                <c:pt idx="2">
                  <c:v>64.146363978255664</c:v>
                </c:pt>
                <c:pt idx="3">
                  <c:v>64.230510970660163</c:v>
                </c:pt>
                <c:pt idx="4">
                  <c:v>63.714583096448031</c:v>
                </c:pt>
                <c:pt idx="5">
                  <c:v>63.675308240546265</c:v>
                </c:pt>
                <c:pt idx="6">
                  <c:v>63.690611154835914</c:v>
                </c:pt>
                <c:pt idx="7">
                  <c:v>63.808693015082994</c:v>
                </c:pt>
                <c:pt idx="8">
                  <c:v>63.652699602050696</c:v>
                </c:pt>
                <c:pt idx="9">
                  <c:v>63.158765140113239</c:v>
                </c:pt>
                <c:pt idx="10">
                  <c:v>62.982841769987942</c:v>
                </c:pt>
                <c:pt idx="11">
                  <c:v>61.888873061377112</c:v>
                </c:pt>
                <c:pt idx="12">
                  <c:v>61.640417795522602</c:v>
                </c:pt>
                <c:pt idx="13">
                  <c:v>60.253358942054398</c:v>
                </c:pt>
                <c:pt idx="14">
                  <c:v>57.455467336772976</c:v>
                </c:pt>
                <c:pt idx="15">
                  <c:v>57.709183536427041</c:v>
                </c:pt>
                <c:pt idx="16">
                  <c:v>57.118925297912178</c:v>
                </c:pt>
              </c:numCache>
            </c:numRef>
          </c:val>
          <c:smooth val="0"/>
          <c:extLst>
            <c:ext xmlns:c16="http://schemas.microsoft.com/office/drawing/2014/chart" uri="{C3380CC4-5D6E-409C-BE32-E72D297353CC}">
              <c16:uniqueId val="{00000000-EB69-4375-915A-DFDE805C51E8}"/>
            </c:ext>
          </c:extLst>
        </c:ser>
        <c:ser>
          <c:idx val="1"/>
          <c:order val="1"/>
          <c:tx>
            <c:strRef>
              <c:f>Sheet1!$F$44</c:f>
              <c:strCache>
                <c:ptCount val="1"/>
                <c:pt idx="0">
                  <c:v>ОБРАЗОВАНИЕ</c:v>
                </c:pt>
              </c:strCache>
            </c:strRef>
          </c:tx>
          <c:spPr>
            <a:ln w="28575" cap="rnd">
              <a:solidFill>
                <a:srgbClr val="FF0000"/>
              </a:solidFill>
              <a:round/>
            </a:ln>
            <a:effectLst/>
          </c:spPr>
          <c:marker>
            <c:symbol val="none"/>
          </c:marker>
          <c:cat>
            <c:strRef>
              <c:f>Sheet1!$D$45:$D$61</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Sheet1!$F$45:$F$61</c:f>
              <c:numCache>
                <c:formatCode>0.0</c:formatCode>
                <c:ptCount val="17"/>
                <c:pt idx="0">
                  <c:v>46.246335398439925</c:v>
                </c:pt>
                <c:pt idx="1">
                  <c:v>47.707023242612507</c:v>
                </c:pt>
                <c:pt idx="2">
                  <c:v>48.055144328048563</c:v>
                </c:pt>
                <c:pt idx="3">
                  <c:v>47.029980936976486</c:v>
                </c:pt>
                <c:pt idx="4">
                  <c:v>47.016522951412199</c:v>
                </c:pt>
                <c:pt idx="5">
                  <c:v>46.45915567011631</c:v>
                </c:pt>
                <c:pt idx="6">
                  <c:v>45.765143957349736</c:v>
                </c:pt>
                <c:pt idx="7">
                  <c:v>45.643416787892711</c:v>
                </c:pt>
                <c:pt idx="8">
                  <c:v>45.91917108496056</c:v>
                </c:pt>
                <c:pt idx="9">
                  <c:v>46.082267890292052</c:v>
                </c:pt>
                <c:pt idx="10">
                  <c:v>45.879030778104024</c:v>
                </c:pt>
                <c:pt idx="11">
                  <c:v>45.611902496637249</c:v>
                </c:pt>
                <c:pt idx="12">
                  <c:v>45.13745733621348</c:v>
                </c:pt>
                <c:pt idx="13">
                  <c:v>44.246349432277682</c:v>
                </c:pt>
                <c:pt idx="14">
                  <c:v>41.548003376571494</c:v>
                </c:pt>
                <c:pt idx="15">
                  <c:v>41.372083469732274</c:v>
                </c:pt>
                <c:pt idx="16">
                  <c:v>41.3438405168815</c:v>
                </c:pt>
              </c:numCache>
            </c:numRef>
          </c:val>
          <c:smooth val="0"/>
          <c:extLst>
            <c:ext xmlns:c16="http://schemas.microsoft.com/office/drawing/2014/chart" uri="{C3380CC4-5D6E-409C-BE32-E72D297353CC}">
              <c16:uniqueId val="{00000001-EB69-4375-915A-DFDE805C51E8}"/>
            </c:ext>
          </c:extLst>
        </c:ser>
        <c:ser>
          <c:idx val="2"/>
          <c:order val="2"/>
          <c:tx>
            <c:strRef>
              <c:f>Sheet1!$G$44</c:f>
              <c:strCache>
                <c:ptCount val="1"/>
                <c:pt idx="0">
                  <c:v>ХУМАННО ЗДРАВЕОПАЗВАНЕ И СОЦИАЛНА РАБОТА</c:v>
                </c:pt>
              </c:strCache>
            </c:strRef>
          </c:tx>
          <c:spPr>
            <a:ln w="28575" cap="rnd">
              <a:solidFill>
                <a:srgbClr val="0070C0"/>
              </a:solidFill>
              <a:round/>
            </a:ln>
            <a:effectLst/>
          </c:spPr>
          <c:marker>
            <c:symbol val="none"/>
          </c:marker>
          <c:cat>
            <c:strRef>
              <c:f>Sheet1!$D$45:$D$61</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Sheet1!$G$45:$G$61</c:f>
              <c:numCache>
                <c:formatCode>0.0</c:formatCode>
                <c:ptCount val="17"/>
                <c:pt idx="0">
                  <c:v>72.483381296335125</c:v>
                </c:pt>
                <c:pt idx="1">
                  <c:v>70.902247886162101</c:v>
                </c:pt>
                <c:pt idx="2">
                  <c:v>71.708498155898255</c:v>
                </c:pt>
                <c:pt idx="3">
                  <c:v>69.193948665646772</c:v>
                </c:pt>
                <c:pt idx="4">
                  <c:v>69.234260948905103</c:v>
                </c:pt>
                <c:pt idx="5">
                  <c:v>68.372213939268121</c:v>
                </c:pt>
                <c:pt idx="6">
                  <c:v>69.056023778704642</c:v>
                </c:pt>
                <c:pt idx="7">
                  <c:v>69.43129452413767</c:v>
                </c:pt>
                <c:pt idx="8">
                  <c:v>69.688925305177222</c:v>
                </c:pt>
                <c:pt idx="9">
                  <c:v>69.794715427032699</c:v>
                </c:pt>
                <c:pt idx="10">
                  <c:v>69.636885457909713</c:v>
                </c:pt>
                <c:pt idx="11">
                  <c:v>68.783649802598376</c:v>
                </c:pt>
                <c:pt idx="12">
                  <c:v>65.278781357947793</c:v>
                </c:pt>
                <c:pt idx="13">
                  <c:v>61.312662494844993</c:v>
                </c:pt>
                <c:pt idx="14">
                  <c:v>54.642073237908797</c:v>
                </c:pt>
                <c:pt idx="15">
                  <c:v>51.579528176565674</c:v>
                </c:pt>
                <c:pt idx="16">
                  <c:v>48.692626546851834</c:v>
                </c:pt>
              </c:numCache>
            </c:numRef>
          </c:val>
          <c:smooth val="0"/>
          <c:extLst>
            <c:ext xmlns:c16="http://schemas.microsoft.com/office/drawing/2014/chart" uri="{C3380CC4-5D6E-409C-BE32-E72D297353CC}">
              <c16:uniqueId val="{00000002-EB69-4375-915A-DFDE805C51E8}"/>
            </c:ext>
          </c:extLst>
        </c:ser>
        <c:dLbls>
          <c:showLegendKey val="0"/>
          <c:showVal val="0"/>
          <c:showCatName val="0"/>
          <c:showSerName val="0"/>
          <c:showPercent val="0"/>
          <c:showBubbleSize val="0"/>
        </c:dLbls>
        <c:smooth val="0"/>
        <c:axId val="1620573616"/>
        <c:axId val="2040277120"/>
      </c:lineChart>
      <c:catAx>
        <c:axId val="162057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0277120"/>
        <c:crosses val="autoZero"/>
        <c:auto val="1"/>
        <c:lblAlgn val="ctr"/>
        <c:lblOffset val="100"/>
        <c:noMultiLvlLbl val="0"/>
      </c:catAx>
      <c:valAx>
        <c:axId val="2040277120"/>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0573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2"/>
          <c:order val="0"/>
          <c:tx>
            <c:strRef>
              <c:f>'Total Data'!$F$29</c:f>
              <c:strCache>
                <c:ptCount val="1"/>
                <c:pt idx="0">
                  <c:v>Общински администрации</c:v>
                </c:pt>
              </c:strCache>
            </c:strRef>
          </c:tx>
          <c:spPr>
            <a:ln w="38100" cap="rnd">
              <a:solidFill>
                <a:schemeClr val="tx1"/>
              </a:solidFill>
              <a:round/>
            </a:ln>
            <a:effectLst/>
          </c:spPr>
          <c:marker>
            <c:symbol val="none"/>
          </c:marker>
          <c:cat>
            <c:numRef>
              <c:f>'Total Data'!$C$30:$C$44</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'Total Data'!$F$30:$F$44</c:f>
              <c:numCache>
                <c:formatCode>0.0</c:formatCode>
                <c:ptCount val="15"/>
                <c:pt idx="0">
                  <c:v>223.15285518501599</c:v>
                </c:pt>
                <c:pt idx="1">
                  <c:v>225.6466871108633</c:v>
                </c:pt>
                <c:pt idx="2">
                  <c:v>220.96541734012382</c:v>
                </c:pt>
                <c:pt idx="3">
                  <c:v>219.37855619859883</c:v>
                </c:pt>
                <c:pt idx="4">
                  <c:v>216.01546033759095</c:v>
                </c:pt>
                <c:pt idx="5">
                  <c:v>211.48444060629524</c:v>
                </c:pt>
                <c:pt idx="6">
                  <c:v>207.81847659474118</c:v>
                </c:pt>
                <c:pt idx="7">
                  <c:v>204.22566810596336</c:v>
                </c:pt>
                <c:pt idx="8">
                  <c:v>204.64193823780505</c:v>
                </c:pt>
                <c:pt idx="9">
                  <c:v>202.47505854800937</c:v>
                </c:pt>
                <c:pt idx="10">
                  <c:v>197.82866647382124</c:v>
                </c:pt>
                <c:pt idx="11">
                  <c:v>186.49553119486305</c:v>
                </c:pt>
                <c:pt idx="12">
                  <c:v>185.43877668450429</c:v>
                </c:pt>
                <c:pt idx="13">
                  <c:v>182.95751030268579</c:v>
                </c:pt>
                <c:pt idx="14">
                  <c:v>183.82478083326194</c:v>
                </c:pt>
              </c:numCache>
            </c:numRef>
          </c:val>
          <c:smooth val="0"/>
          <c:extLst>
            <c:ext xmlns:c16="http://schemas.microsoft.com/office/drawing/2014/chart" uri="{C3380CC4-5D6E-409C-BE32-E72D297353CC}">
              <c16:uniqueId val="{00000000-75DB-4336-A6F1-186BA5C502B5}"/>
            </c:ext>
          </c:extLst>
        </c:ser>
        <c:dLbls>
          <c:showLegendKey val="0"/>
          <c:showVal val="0"/>
          <c:showCatName val="0"/>
          <c:showSerName val="0"/>
          <c:showPercent val="0"/>
          <c:showBubbleSize val="0"/>
        </c:dLbls>
        <c:smooth val="0"/>
        <c:axId val="1388748911"/>
        <c:axId val="1383491967"/>
      </c:lineChart>
      <c:catAx>
        <c:axId val="1388748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3491967"/>
        <c:crosses val="autoZero"/>
        <c:auto val="1"/>
        <c:lblAlgn val="ctr"/>
        <c:lblOffset val="100"/>
        <c:noMultiLvlLbl val="0"/>
      </c:catAx>
      <c:valAx>
        <c:axId val="1383491967"/>
        <c:scaling>
          <c:orientation val="minMax"/>
          <c:min val="18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87489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Sheet2!$C$60</c:f>
              <c:strCache>
                <c:ptCount val="1"/>
                <c:pt idx="0">
                  <c:v>Население на един общински служител (бр.)</c:v>
                </c:pt>
              </c:strCache>
            </c:strRef>
          </c:tx>
          <c:spPr>
            <a:ln w="28575" cap="rnd">
              <a:solidFill>
                <a:schemeClr val="accent1"/>
              </a:solidFill>
              <a:round/>
            </a:ln>
            <a:effectLst/>
          </c:spPr>
          <c:marker>
            <c:symbol val="none"/>
          </c:marker>
          <c:cat>
            <c:strRef>
              <c:f>Sheet2!$B$61:$B$71</c:f>
              <c:strCache>
                <c:ptCount val="11"/>
                <c:pt idx="0">
                  <c:v>2015</c:v>
                </c:pt>
                <c:pt idx="1">
                  <c:v>2016</c:v>
                </c:pt>
                <c:pt idx="2">
                  <c:v>2017</c:v>
                </c:pt>
                <c:pt idx="3">
                  <c:v>2018</c:v>
                </c:pt>
                <c:pt idx="4">
                  <c:v>2019</c:v>
                </c:pt>
                <c:pt idx="5">
                  <c:v>2020</c:v>
                </c:pt>
                <c:pt idx="6">
                  <c:v>2021</c:v>
                </c:pt>
                <c:pt idx="7">
                  <c:v>2022</c:v>
                </c:pt>
                <c:pt idx="8">
                  <c:v>2023</c:v>
                </c:pt>
                <c:pt idx="9">
                  <c:v>2024</c:v>
                </c:pt>
                <c:pt idx="10">
                  <c:v>2025 Q2</c:v>
                </c:pt>
              </c:strCache>
            </c:strRef>
          </c:cat>
          <c:val>
            <c:numRef>
              <c:f>Sheet2!$C$61:$C$71</c:f>
              <c:numCache>
                <c:formatCode>#\ ##0.0</c:formatCode>
                <c:ptCount val="11"/>
                <c:pt idx="0">
                  <c:v>298</c:v>
                </c:pt>
                <c:pt idx="1">
                  <c:v>277.78801717141096</c:v>
                </c:pt>
                <c:pt idx="2">
                  <c:v>276.44718224194474</c:v>
                </c:pt>
                <c:pt idx="3">
                  <c:v>278.98276646682893</c:v>
                </c:pt>
                <c:pt idx="4">
                  <c:v>284.88888581391484</c:v>
                </c:pt>
                <c:pt idx="5">
                  <c:v>284.10654462362271</c:v>
                </c:pt>
                <c:pt idx="6">
                  <c:v>280.92352994933134</c:v>
                </c:pt>
                <c:pt idx="7">
                  <c:v>264.2060145631267</c:v>
                </c:pt>
                <c:pt idx="8">
                  <c:v>264.78431920101184</c:v>
                </c:pt>
                <c:pt idx="9">
                  <c:v>265.22430252654101</c:v>
                </c:pt>
                <c:pt idx="10">
                  <c:v>262.1367367532045</c:v>
                </c:pt>
              </c:numCache>
            </c:numRef>
          </c:val>
          <c:smooth val="0"/>
          <c:extLst>
            <c:ext xmlns:c16="http://schemas.microsoft.com/office/drawing/2014/chart" uri="{C3380CC4-5D6E-409C-BE32-E72D297353CC}">
              <c16:uniqueId val="{00000000-D6DB-46E8-8282-14BB0306C2D6}"/>
            </c:ext>
          </c:extLst>
        </c:ser>
        <c:dLbls>
          <c:showLegendKey val="0"/>
          <c:showVal val="0"/>
          <c:showCatName val="0"/>
          <c:showSerName val="0"/>
          <c:showPercent val="0"/>
          <c:showBubbleSize val="0"/>
        </c:dLbls>
        <c:smooth val="0"/>
        <c:axId val="1173532303"/>
        <c:axId val="1280030911"/>
      </c:lineChart>
      <c:catAx>
        <c:axId val="1173532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0030911"/>
        <c:crosses val="autoZero"/>
        <c:auto val="1"/>
        <c:lblAlgn val="ctr"/>
        <c:lblOffset val="100"/>
        <c:noMultiLvlLbl val="0"/>
      </c:catAx>
      <c:valAx>
        <c:axId val="1280030911"/>
        <c:scaling>
          <c:orientation val="minMax"/>
          <c:max val="300"/>
          <c:min val="26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35323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E66A3-C3F0-4A2A-BCE2-350035ED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1581</Words>
  <Characters>9015</Characters>
  <Application>Microsoft Office Word</Application>
  <DocSecurity>0</DocSecurity>
  <Lines>75</Lines>
  <Paragraphs>21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NA</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vency</dc:creator>
  <cp:keywords/>
  <cp:lastModifiedBy>Гергана Дамянова</cp:lastModifiedBy>
  <cp:revision>7</cp:revision>
  <cp:lastPrinted>2023-07-14T07:59:00Z</cp:lastPrinted>
  <dcterms:created xsi:type="dcterms:W3CDTF">2025-10-27T14:02:00Z</dcterms:created>
  <dcterms:modified xsi:type="dcterms:W3CDTF">2025-10-27T14:21:00Z</dcterms:modified>
</cp:coreProperties>
</file>