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1F36D" w14:textId="77777777" w:rsidR="0014583E" w:rsidRDefault="00854657" w:rsidP="00F540F4">
      <w:pPr>
        <w:jc w:val="center"/>
        <w:rPr>
          <w:b/>
          <w:bCs/>
        </w:rPr>
      </w:pPr>
      <w:r w:rsidRPr="00F540F4">
        <w:rPr>
          <w:b/>
          <w:bCs/>
        </w:rPr>
        <w:t xml:space="preserve">ОЧАКВАНО ИЗПЪЛНЕНИЕ </w:t>
      </w:r>
    </w:p>
    <w:p w14:paraId="32ED8D59" w14:textId="5AAFE1A8" w:rsidR="00C20357" w:rsidRDefault="00854657" w:rsidP="00F540F4">
      <w:pPr>
        <w:jc w:val="center"/>
        <w:rPr>
          <w:b/>
          <w:bCs/>
        </w:rPr>
      </w:pPr>
      <w:r w:rsidRPr="00F540F4">
        <w:rPr>
          <w:b/>
          <w:bCs/>
        </w:rPr>
        <w:t>НА ДЪРЖАВНИЯ БЮДЖЕТ ЗА 2025 ГОДИНА</w:t>
      </w:r>
      <w:r w:rsidR="00F241E8">
        <w:rPr>
          <w:b/>
          <w:bCs/>
        </w:rPr>
        <w:t xml:space="preserve"> – ПРОГНОЗА НА </w:t>
      </w:r>
    </w:p>
    <w:p w14:paraId="0A8FA2BF" w14:textId="20D2D674" w:rsidR="00F241E8" w:rsidRPr="00F540F4" w:rsidRDefault="00F241E8" w:rsidP="00F540F4">
      <w:pPr>
        <w:jc w:val="center"/>
        <w:rPr>
          <w:b/>
          <w:bCs/>
        </w:rPr>
      </w:pPr>
      <w:r>
        <w:rPr>
          <w:b/>
          <w:bCs/>
        </w:rPr>
        <w:t>КОНФЕДЕРАЦИЯ НА ТРУДА „ПОДКРЕПА“</w:t>
      </w:r>
    </w:p>
    <w:p w14:paraId="171D1C71" w14:textId="77777777" w:rsidR="00981018" w:rsidRDefault="00981018"/>
    <w:p w14:paraId="6488CAEB" w14:textId="3629AD8C" w:rsidR="00981018" w:rsidRPr="003B2102" w:rsidRDefault="00E81C3F" w:rsidP="00EF75CC">
      <w:pPr>
        <w:shd w:val="clear" w:color="auto" w:fill="BDD6EE" w:themeFill="accent5" w:themeFillTint="66"/>
        <w:jc w:val="center"/>
        <w:rPr>
          <w:b/>
          <w:bCs/>
        </w:rPr>
      </w:pPr>
      <w:r>
        <w:rPr>
          <w:b/>
          <w:bCs/>
        </w:rPr>
        <w:t>І. ПРИХОДИ</w:t>
      </w:r>
    </w:p>
    <w:p w14:paraId="26ADC708" w14:textId="251EAD27" w:rsidR="003B2102" w:rsidRDefault="00981018" w:rsidP="00981018">
      <w:pPr>
        <w:ind w:firstLine="720"/>
      </w:pPr>
      <w:r>
        <w:t>При използване на дв</w:t>
      </w:r>
      <w:r w:rsidR="00F112A2">
        <w:t>а</w:t>
      </w:r>
      <w:r>
        <w:t xml:space="preserve"> метода</w:t>
      </w:r>
      <w:r w:rsidR="00F112A2">
        <w:t xml:space="preserve"> (на база историческо изпълнение на събираемостта и на база приход, като дял от БВП</w:t>
      </w:r>
      <w:r>
        <w:t xml:space="preserve"> </w:t>
      </w:r>
      <w:r w:rsidR="00505947">
        <w:t xml:space="preserve">за последните три години към 30 юни на текущата година и към 31 декември) </w:t>
      </w:r>
      <w:r>
        <w:t>за прогнозиране на очакваното изпълнение на приходите в Държавния бюджет за 2025 година</w:t>
      </w:r>
      <w:r w:rsidR="00D51B7F">
        <w:t>, на база на направените от КТ „Подкрепа“ изчисления,</w:t>
      </w:r>
      <w:r>
        <w:t xml:space="preserve"> </w:t>
      </w:r>
      <w:r w:rsidR="00505947">
        <w:t>може да се очаква</w:t>
      </w:r>
      <w:r w:rsidR="007A229C">
        <w:t xml:space="preserve">, че </w:t>
      </w:r>
      <w:r w:rsidR="007A229C" w:rsidRPr="00AF5B12">
        <w:rPr>
          <w:b/>
        </w:rPr>
        <w:t xml:space="preserve">приходите </w:t>
      </w:r>
      <w:r w:rsidR="005E3C61" w:rsidRPr="00AF5B12">
        <w:rPr>
          <w:b/>
        </w:rPr>
        <w:t>ще бъдат между 46,4 млрд.</w:t>
      </w:r>
      <w:r w:rsidR="00FE129A">
        <w:rPr>
          <w:b/>
        </w:rPr>
        <w:t xml:space="preserve"> </w:t>
      </w:r>
      <w:r w:rsidR="005E3C61" w:rsidRPr="00AF5B12">
        <w:rPr>
          <w:b/>
        </w:rPr>
        <w:t>лв. и 51,6 млрд.</w:t>
      </w:r>
      <w:r w:rsidR="00FE129A">
        <w:rPr>
          <w:b/>
        </w:rPr>
        <w:t xml:space="preserve"> </w:t>
      </w:r>
      <w:r w:rsidR="005E3C61" w:rsidRPr="00AF5B12">
        <w:rPr>
          <w:b/>
        </w:rPr>
        <w:t xml:space="preserve">лв., </w:t>
      </w:r>
      <w:r w:rsidR="004F10AA" w:rsidRPr="00AF5B12">
        <w:rPr>
          <w:b/>
        </w:rPr>
        <w:t>при заложени в закона 55,2 млрд.</w:t>
      </w:r>
      <w:r w:rsidR="00FE129A">
        <w:rPr>
          <w:b/>
        </w:rPr>
        <w:t xml:space="preserve"> </w:t>
      </w:r>
      <w:r w:rsidR="004F10AA" w:rsidRPr="00AF5B12">
        <w:rPr>
          <w:b/>
        </w:rPr>
        <w:t>лв</w:t>
      </w:r>
      <w:r w:rsidR="005C6345">
        <w:t>.</w:t>
      </w:r>
      <w:r w:rsidR="00E83B8E" w:rsidRPr="00E83B8E">
        <w:rPr>
          <w:noProof/>
        </w:rPr>
        <w:t xml:space="preserve"> </w:t>
      </w:r>
    </w:p>
    <w:p w14:paraId="32D3EB1F" w14:textId="65B85C05" w:rsidR="00C53370" w:rsidRPr="00E73A7F" w:rsidRDefault="00C53370" w:rsidP="00C53370">
      <w:pPr>
        <w:ind w:firstLine="720"/>
        <w:jc w:val="right"/>
        <w:rPr>
          <w:i/>
        </w:rPr>
      </w:pPr>
      <w:r>
        <w:rPr>
          <w:i/>
        </w:rPr>
        <w:t>г</w:t>
      </w:r>
      <w:r w:rsidRPr="00E73A7F">
        <w:rPr>
          <w:i/>
        </w:rPr>
        <w:t>раф.1</w:t>
      </w:r>
    </w:p>
    <w:p w14:paraId="485DCC66" w14:textId="209CC3B6" w:rsidR="00C53370" w:rsidRDefault="00890D8F" w:rsidP="00C53370">
      <w:r>
        <w:rPr>
          <w:noProof/>
        </w:rPr>
        <w:drawing>
          <wp:inline distT="0" distB="0" distL="0" distR="0" wp14:anchorId="3C675F86" wp14:editId="1C00D10B">
            <wp:extent cx="5993765" cy="3782584"/>
            <wp:effectExtent l="0" t="0" r="6985" b="8890"/>
            <wp:docPr id="7821188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025" cy="3790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464739" w14:textId="5E8B2274" w:rsidR="00B1045E" w:rsidRDefault="001C7CF8" w:rsidP="00C53370">
      <w:pPr>
        <w:ind w:firstLine="720"/>
      </w:pPr>
      <w:r>
        <w:t xml:space="preserve">Ефект върху приходната част </w:t>
      </w:r>
      <w:r w:rsidR="00380513">
        <w:t xml:space="preserve">пряко </w:t>
      </w:r>
      <w:r>
        <w:t xml:space="preserve">имат икономическите и политическите процеси и решения. </w:t>
      </w:r>
    </w:p>
    <w:p w14:paraId="168A1E04" w14:textId="4D692660" w:rsidR="001C7CF8" w:rsidRDefault="001C7CF8" w:rsidP="00C53370">
      <w:pPr>
        <w:ind w:firstLine="720"/>
      </w:pPr>
      <w:r>
        <w:t xml:space="preserve">Следва да се вземат предвид </w:t>
      </w:r>
      <w:r w:rsidR="00380513">
        <w:t>продължаваща</w:t>
      </w:r>
      <w:r w:rsidR="00DA4970">
        <w:t>та</w:t>
      </w:r>
      <w:r w:rsidR="00380513">
        <w:t xml:space="preserve"> рецесия</w:t>
      </w:r>
      <w:r>
        <w:t xml:space="preserve"> във водещите </w:t>
      </w:r>
      <w:r w:rsidR="00D332B4">
        <w:t>държави</w:t>
      </w:r>
      <w:r>
        <w:t xml:space="preserve"> в Европа, </w:t>
      </w:r>
      <w:r w:rsidR="00380513">
        <w:t xml:space="preserve">изнасянето на индустриални производства извън ЕС, </w:t>
      </w:r>
      <w:r w:rsidR="00D332B4">
        <w:t xml:space="preserve">непредсказуемата икономическа политика на САЩ, икономическите решения за закриване или откриване на нови производства, промените в инвестиционните намерения, </w:t>
      </w:r>
      <w:r w:rsidR="00D2130A">
        <w:t xml:space="preserve">труднопредсказуемите енергийни цени, </w:t>
      </w:r>
      <w:r w:rsidR="00014F5E">
        <w:t>спад</w:t>
      </w:r>
      <w:r w:rsidR="00FE129A">
        <w:t>ът</w:t>
      </w:r>
      <w:r w:rsidR="00014F5E">
        <w:t xml:space="preserve"> </w:t>
      </w:r>
      <w:r w:rsidR="00014F5E">
        <w:lastRenderedPageBreak/>
        <w:t xml:space="preserve">на индустриалното производство у нас, </w:t>
      </w:r>
      <w:r w:rsidR="00D332B4">
        <w:t>намаляването на покупателната способно</w:t>
      </w:r>
      <w:r w:rsidR="00EF508C">
        <w:t>ст на домакинствата,</w:t>
      </w:r>
      <w:r w:rsidR="00D2130A">
        <w:t xml:space="preserve"> намаляване на потреблението в количества,</w:t>
      </w:r>
      <w:r w:rsidR="00EF508C">
        <w:t xml:space="preserve"> </w:t>
      </w:r>
      <w:r w:rsidR="00D46B9B">
        <w:t xml:space="preserve">евентуално </w:t>
      </w:r>
      <w:r w:rsidR="00EF508C">
        <w:t>съкращаване</w:t>
      </w:r>
      <w:r w:rsidR="00D332B4">
        <w:t xml:space="preserve"> на разходи от предприятията, допълнителните разходи на фирмите (</w:t>
      </w:r>
      <w:r w:rsidR="00EF508C">
        <w:t xml:space="preserve">статистически </w:t>
      </w:r>
      <w:r w:rsidR="00D332B4">
        <w:t>около 2% от пр</w:t>
      </w:r>
      <w:r w:rsidR="00DA4970">
        <w:t>и</w:t>
      </w:r>
      <w:r w:rsidR="00D332B4">
        <w:t xml:space="preserve">ходите) </w:t>
      </w:r>
      <w:r w:rsidR="00EF508C">
        <w:t>за въвеждане на еврото в България, очакванията от повишени рискове за влошаване на икономиката</w:t>
      </w:r>
      <w:r w:rsidR="00E56171">
        <w:t xml:space="preserve">, не на последно място </w:t>
      </w:r>
      <w:r w:rsidR="000C743D">
        <w:t xml:space="preserve">– от </w:t>
      </w:r>
      <w:r w:rsidR="00E56171" w:rsidRPr="005B65BB">
        <w:t>предприеманите от Правителството мерки за овладяване на цените на основни стоки</w:t>
      </w:r>
      <w:r w:rsidR="005F08AC">
        <w:t xml:space="preserve"> </w:t>
      </w:r>
      <w:r w:rsidR="00EF508C">
        <w:t>и др.</w:t>
      </w:r>
    </w:p>
    <w:p w14:paraId="2310AC58" w14:textId="44607FD2" w:rsidR="004F10AA" w:rsidRPr="00D74CC3" w:rsidRDefault="004F10AA" w:rsidP="00B1045E">
      <w:pPr>
        <w:ind w:firstLine="720"/>
        <w:rPr>
          <w:b/>
          <w:bCs/>
        </w:rPr>
      </w:pPr>
      <w:r w:rsidRPr="00D74CC3">
        <w:rPr>
          <w:b/>
          <w:bCs/>
        </w:rPr>
        <w:t xml:space="preserve">Неизпълнението </w:t>
      </w:r>
      <w:r w:rsidR="00CA0330" w:rsidRPr="00D74CC3">
        <w:rPr>
          <w:b/>
          <w:bCs/>
        </w:rPr>
        <w:t xml:space="preserve">на приходната част </w:t>
      </w:r>
      <w:r w:rsidR="00B1045E">
        <w:rPr>
          <w:b/>
          <w:bCs/>
        </w:rPr>
        <w:t xml:space="preserve">се очаква да е </w:t>
      </w:r>
      <w:r w:rsidRPr="00D74CC3">
        <w:rPr>
          <w:b/>
          <w:bCs/>
        </w:rPr>
        <w:t>в диапазон</w:t>
      </w:r>
      <w:r w:rsidR="00B1045E">
        <w:rPr>
          <w:b/>
          <w:bCs/>
        </w:rPr>
        <w:t>а</w:t>
      </w:r>
      <w:r w:rsidRPr="00D74CC3">
        <w:rPr>
          <w:b/>
          <w:bCs/>
        </w:rPr>
        <w:t xml:space="preserve"> от </w:t>
      </w:r>
      <w:r w:rsidR="008C4634">
        <w:rPr>
          <w:b/>
          <w:bCs/>
        </w:rPr>
        <w:t>3,</w:t>
      </w:r>
      <w:r w:rsidR="009461BF">
        <w:rPr>
          <w:b/>
          <w:bCs/>
        </w:rPr>
        <w:t>5</w:t>
      </w:r>
      <w:r w:rsidR="004D085F" w:rsidRPr="00D74CC3">
        <w:rPr>
          <w:b/>
          <w:bCs/>
        </w:rPr>
        <w:t xml:space="preserve"> млрд.</w:t>
      </w:r>
      <w:r w:rsidR="00FE129A">
        <w:rPr>
          <w:b/>
          <w:bCs/>
        </w:rPr>
        <w:t xml:space="preserve"> </w:t>
      </w:r>
      <w:r w:rsidR="004D085F" w:rsidRPr="00D74CC3">
        <w:rPr>
          <w:b/>
          <w:bCs/>
        </w:rPr>
        <w:t xml:space="preserve">лв. до </w:t>
      </w:r>
      <w:r w:rsidR="00AE011E" w:rsidRPr="00D74CC3">
        <w:rPr>
          <w:b/>
          <w:bCs/>
        </w:rPr>
        <w:t>8,</w:t>
      </w:r>
      <w:r w:rsidR="00575AC4">
        <w:rPr>
          <w:b/>
          <w:bCs/>
          <w:lang w:val="en-US"/>
        </w:rPr>
        <w:t>2</w:t>
      </w:r>
      <w:r w:rsidR="00CA0330" w:rsidRPr="00D74CC3">
        <w:rPr>
          <w:b/>
          <w:bCs/>
        </w:rPr>
        <w:t xml:space="preserve"> млрд.</w:t>
      </w:r>
      <w:r w:rsidR="00FE129A">
        <w:rPr>
          <w:b/>
          <w:bCs/>
        </w:rPr>
        <w:t xml:space="preserve"> </w:t>
      </w:r>
      <w:r w:rsidR="00CA0330" w:rsidRPr="00D74CC3">
        <w:rPr>
          <w:b/>
          <w:bCs/>
        </w:rPr>
        <w:t xml:space="preserve">лв., </w:t>
      </w:r>
      <w:r w:rsidR="00E76981" w:rsidRPr="00D74CC3">
        <w:t>което представлява от 85</w:t>
      </w:r>
      <w:r w:rsidR="00AE011E" w:rsidRPr="00D74CC3">
        <w:t>% до 9</w:t>
      </w:r>
      <w:r w:rsidR="003A38B3">
        <w:rPr>
          <w:lang w:val="en-US"/>
        </w:rPr>
        <w:t>4</w:t>
      </w:r>
      <w:r w:rsidR="005C6345" w:rsidRPr="00D74CC3">
        <w:t>% изпълнение на приходите.</w:t>
      </w:r>
    </w:p>
    <w:p w14:paraId="62A15EED" w14:textId="3DA1BBDE" w:rsidR="00710460" w:rsidRPr="00D74CC3" w:rsidRDefault="00710460" w:rsidP="00981018">
      <w:pPr>
        <w:ind w:firstLine="720"/>
      </w:pPr>
      <w:r w:rsidRPr="00D74CC3">
        <w:rPr>
          <w:b/>
          <w:bCs/>
        </w:rPr>
        <w:t>Данъчните приходи</w:t>
      </w:r>
      <w:r w:rsidRPr="00D74CC3">
        <w:t xml:space="preserve">, при заложени по закон </w:t>
      </w:r>
      <w:r w:rsidR="00A3503F" w:rsidRPr="00D74CC3">
        <w:t>48,2 млрд.</w:t>
      </w:r>
      <w:r w:rsidR="00FE129A">
        <w:t xml:space="preserve"> </w:t>
      </w:r>
      <w:r w:rsidR="00A3503F" w:rsidRPr="00D74CC3">
        <w:t xml:space="preserve">лв. </w:t>
      </w:r>
      <w:r w:rsidR="00251C3C">
        <w:t>и се очаква д</w:t>
      </w:r>
      <w:r w:rsidR="0028054B">
        <w:t>а</w:t>
      </w:r>
      <w:r w:rsidR="00A3503F" w:rsidRPr="00D74CC3">
        <w:t xml:space="preserve"> се изпълнят от 86% до 9</w:t>
      </w:r>
      <w:r w:rsidR="00DA4970">
        <w:rPr>
          <w:lang w:val="en-US"/>
        </w:rPr>
        <w:t>2</w:t>
      </w:r>
      <w:r w:rsidR="00A3503F" w:rsidRPr="00D74CC3">
        <w:t xml:space="preserve">%, което е </w:t>
      </w:r>
      <w:r w:rsidR="00A3503F" w:rsidRPr="00D74CC3">
        <w:rPr>
          <w:b/>
          <w:bCs/>
        </w:rPr>
        <w:t xml:space="preserve">неизпълнение </w:t>
      </w:r>
      <w:r w:rsidR="00251C3C">
        <w:rPr>
          <w:b/>
          <w:bCs/>
        </w:rPr>
        <w:t xml:space="preserve">в интервала от </w:t>
      </w:r>
      <w:r w:rsidR="00D44042" w:rsidRPr="00D74CC3">
        <w:rPr>
          <w:b/>
          <w:bCs/>
        </w:rPr>
        <w:t>3,</w:t>
      </w:r>
      <w:r w:rsidR="00DA4970">
        <w:rPr>
          <w:b/>
          <w:bCs/>
          <w:lang w:val="en-US"/>
        </w:rPr>
        <w:t>8</w:t>
      </w:r>
      <w:r w:rsidR="00D44042" w:rsidRPr="00D74CC3">
        <w:rPr>
          <w:b/>
          <w:bCs/>
        </w:rPr>
        <w:t xml:space="preserve"> до</w:t>
      </w:r>
      <w:r w:rsidR="00E76981" w:rsidRPr="00D74CC3">
        <w:rPr>
          <w:b/>
          <w:bCs/>
        </w:rPr>
        <w:t xml:space="preserve"> 6,6</w:t>
      </w:r>
      <w:r w:rsidR="008C6933" w:rsidRPr="00D74CC3">
        <w:rPr>
          <w:b/>
          <w:bCs/>
        </w:rPr>
        <w:t xml:space="preserve"> млрд.</w:t>
      </w:r>
      <w:r w:rsidR="00FE129A">
        <w:rPr>
          <w:b/>
          <w:bCs/>
        </w:rPr>
        <w:t xml:space="preserve"> </w:t>
      </w:r>
      <w:r w:rsidR="008C6933" w:rsidRPr="00D74CC3">
        <w:rPr>
          <w:b/>
          <w:bCs/>
        </w:rPr>
        <w:t>лв</w:t>
      </w:r>
      <w:r w:rsidR="00D44042" w:rsidRPr="00D74CC3">
        <w:t>.</w:t>
      </w:r>
    </w:p>
    <w:p w14:paraId="3CB747CB" w14:textId="00B1015A" w:rsidR="00E76981" w:rsidRDefault="009633B1" w:rsidP="00981018">
      <w:pPr>
        <w:ind w:firstLine="720"/>
      </w:pPr>
      <w:r w:rsidRPr="00C66702">
        <w:rPr>
          <w:b/>
        </w:rPr>
        <w:t>При неданъчните приходи</w:t>
      </w:r>
      <w:r w:rsidRPr="00C66702">
        <w:t xml:space="preserve"> може да се очаква </w:t>
      </w:r>
      <w:r w:rsidRPr="00AF5B12">
        <w:rPr>
          <w:b/>
        </w:rPr>
        <w:t>неизпълнение от 0,8 до 1,</w:t>
      </w:r>
      <w:r w:rsidR="002E329F">
        <w:rPr>
          <w:b/>
          <w:lang w:val="en-US"/>
        </w:rPr>
        <w:t>5</w:t>
      </w:r>
      <w:r w:rsidRPr="00AF5B12">
        <w:rPr>
          <w:b/>
        </w:rPr>
        <w:t xml:space="preserve"> млрд.</w:t>
      </w:r>
      <w:r w:rsidR="00FE129A">
        <w:rPr>
          <w:b/>
        </w:rPr>
        <w:t xml:space="preserve"> </w:t>
      </w:r>
      <w:r w:rsidRPr="00AF5B12">
        <w:rPr>
          <w:b/>
        </w:rPr>
        <w:t>лв</w:t>
      </w:r>
      <w:r w:rsidRPr="00C66702">
        <w:t>.,</w:t>
      </w:r>
      <w:r w:rsidR="00D74CC3" w:rsidRPr="00C66702">
        <w:t xml:space="preserve"> което е изпълнение на плана в диапазон от 7</w:t>
      </w:r>
      <w:r w:rsidR="002E329F">
        <w:rPr>
          <w:lang w:val="en-US"/>
        </w:rPr>
        <w:t>8</w:t>
      </w:r>
      <w:r w:rsidR="004412DF">
        <w:t>%</w:t>
      </w:r>
      <w:r w:rsidR="00D74CC3" w:rsidRPr="00C66702">
        <w:t xml:space="preserve"> до 88%.</w:t>
      </w:r>
    </w:p>
    <w:p w14:paraId="2222EEFD" w14:textId="50816ABB" w:rsidR="00401AFA" w:rsidRDefault="00401AFA" w:rsidP="00401AFA">
      <w:pPr>
        <w:ind w:firstLine="720"/>
      </w:pPr>
      <w:r>
        <w:t>Неданъчните приходи по закон са 7 млрд.</w:t>
      </w:r>
      <w:r w:rsidR="00FE129A">
        <w:t xml:space="preserve"> </w:t>
      </w:r>
      <w:r>
        <w:t>лв., като се очаква приходите д</w:t>
      </w:r>
      <w:r w:rsidR="004412DF">
        <w:t>а са между 5,</w:t>
      </w:r>
      <w:r w:rsidR="0042531D">
        <w:rPr>
          <w:lang w:val="en-US"/>
        </w:rPr>
        <w:t>5</w:t>
      </w:r>
      <w:r w:rsidR="004412DF">
        <w:t xml:space="preserve"> и 6,2 млрд.</w:t>
      </w:r>
      <w:r w:rsidR="00FE129A">
        <w:t xml:space="preserve"> </w:t>
      </w:r>
      <w:r w:rsidR="004412DF">
        <w:t>лв.</w:t>
      </w:r>
    </w:p>
    <w:p w14:paraId="55FE36D8" w14:textId="313713D6" w:rsidR="005F78AF" w:rsidRDefault="00401AFA" w:rsidP="00401AFA">
      <w:pPr>
        <w:ind w:firstLine="720"/>
      </w:pPr>
      <w:r>
        <w:t>При неданъчните приходи има прекалено много условности, особено по отношение на доходите и приходите от собственост, предвид възможностите на Правителството да извърши продажби на имущество до края на годината, които пряко влияят върху размера на прихода.</w:t>
      </w:r>
    </w:p>
    <w:p w14:paraId="148AE91E" w14:textId="4218A942" w:rsidR="00B1045E" w:rsidRDefault="00B1045E">
      <w:pPr>
        <w:jc w:val="left"/>
      </w:pPr>
      <w:r>
        <w:br w:type="page"/>
      </w:r>
    </w:p>
    <w:p w14:paraId="0D2A77D5" w14:textId="3143E372" w:rsidR="008103B3" w:rsidRDefault="008103B3" w:rsidP="00E81C3F">
      <w:pPr>
        <w:jc w:val="center"/>
        <w:rPr>
          <w:b/>
          <w:bCs/>
        </w:rPr>
      </w:pPr>
      <w:r>
        <w:rPr>
          <w:b/>
          <w:bCs/>
        </w:rPr>
        <w:lastRenderedPageBreak/>
        <w:t>ДАНЪК ВЪРХУ ДОБАВЕНАТА СТОЙНОСТ</w:t>
      </w:r>
    </w:p>
    <w:p w14:paraId="22085562" w14:textId="063C5031" w:rsidR="008103B3" w:rsidRDefault="008103B3" w:rsidP="008103B3">
      <w:pPr>
        <w:ind w:firstLine="720"/>
      </w:pPr>
      <w:r w:rsidRPr="00C66702">
        <w:t xml:space="preserve">Най-голямото </w:t>
      </w:r>
      <w:r w:rsidR="006E0054">
        <w:t xml:space="preserve">се очаква да е </w:t>
      </w:r>
      <w:r w:rsidRPr="00C66702">
        <w:t>неизпълнение</w:t>
      </w:r>
      <w:r w:rsidR="006E0054">
        <w:t>то</w:t>
      </w:r>
      <w:r w:rsidRPr="00C66702">
        <w:t xml:space="preserve"> на приходите</w:t>
      </w:r>
      <w:r w:rsidR="006E0054">
        <w:t>,</w:t>
      </w:r>
      <w:r w:rsidRPr="00C66702">
        <w:t xml:space="preserve"> свързано с ДДС. </w:t>
      </w:r>
    </w:p>
    <w:p w14:paraId="38414377" w14:textId="06FF6929" w:rsidR="00CA0330" w:rsidRPr="009A76D0" w:rsidRDefault="00792EBC" w:rsidP="00981018">
      <w:pPr>
        <w:ind w:firstLine="720"/>
      </w:pPr>
      <w:r w:rsidRPr="009A76D0">
        <w:rPr>
          <w:b/>
          <w:bCs/>
        </w:rPr>
        <w:t>Очакваното изпълнение на ДДС</w:t>
      </w:r>
      <w:r w:rsidRPr="009A76D0">
        <w:t xml:space="preserve">, при заложени </w:t>
      </w:r>
      <w:r w:rsidR="009E205C" w:rsidRPr="009A76D0">
        <w:t>24,8</w:t>
      </w:r>
      <w:r w:rsidRPr="009A76D0">
        <w:t xml:space="preserve"> млрд.</w:t>
      </w:r>
      <w:r w:rsidR="00FE129A">
        <w:t xml:space="preserve"> </w:t>
      </w:r>
      <w:r w:rsidRPr="009A76D0">
        <w:t>лв.</w:t>
      </w:r>
      <w:r w:rsidR="009E205C" w:rsidRPr="009A76D0">
        <w:t xml:space="preserve"> ще е </w:t>
      </w:r>
      <w:r w:rsidR="00FE129A">
        <w:t xml:space="preserve">в </w:t>
      </w:r>
      <w:r w:rsidR="009E205C" w:rsidRPr="009A76D0">
        <w:t>интервала 19,7 – 20,7 млрд.</w:t>
      </w:r>
      <w:r w:rsidR="00FE129A">
        <w:t xml:space="preserve"> </w:t>
      </w:r>
      <w:r w:rsidR="009E205C" w:rsidRPr="009A76D0">
        <w:t xml:space="preserve">лв., което представлява изпълнение от </w:t>
      </w:r>
      <w:r w:rsidR="00FA14D3" w:rsidRPr="009A76D0">
        <w:t xml:space="preserve">79 до 83%, или </w:t>
      </w:r>
      <w:r w:rsidR="00D44042" w:rsidRPr="009A76D0">
        <w:rPr>
          <w:b/>
          <w:bCs/>
        </w:rPr>
        <w:t xml:space="preserve">по-малко приходи в размер </w:t>
      </w:r>
      <w:r w:rsidR="00FA14D3" w:rsidRPr="009A76D0">
        <w:rPr>
          <w:b/>
          <w:bCs/>
        </w:rPr>
        <w:t>от 4,1 до 5,1 млрд.</w:t>
      </w:r>
      <w:r w:rsidR="00FE129A">
        <w:rPr>
          <w:b/>
          <w:bCs/>
        </w:rPr>
        <w:t xml:space="preserve"> </w:t>
      </w:r>
      <w:r w:rsidR="00FA14D3" w:rsidRPr="009A76D0">
        <w:rPr>
          <w:b/>
          <w:bCs/>
        </w:rPr>
        <w:t>л</w:t>
      </w:r>
      <w:r w:rsidR="00FA14D3" w:rsidRPr="009A76D0">
        <w:t>в.</w:t>
      </w:r>
    </w:p>
    <w:p w14:paraId="4E8034CB" w14:textId="7271622E" w:rsidR="007725B2" w:rsidRDefault="007725B2" w:rsidP="007725B2">
      <w:pPr>
        <w:ind w:firstLine="720"/>
        <w:jc w:val="right"/>
        <w:rPr>
          <w:i/>
        </w:rPr>
      </w:pPr>
      <w:r w:rsidRPr="009A76D0">
        <w:rPr>
          <w:i/>
        </w:rPr>
        <w:t>граф. 2</w:t>
      </w:r>
    </w:p>
    <w:p w14:paraId="68E95B29" w14:textId="565F7F38" w:rsidR="00BA1886" w:rsidRPr="009A76D0" w:rsidRDefault="00255922" w:rsidP="00BA1886">
      <w:pPr>
        <w:jc w:val="right"/>
        <w:rPr>
          <w:i/>
        </w:rPr>
      </w:pPr>
      <w:r>
        <w:rPr>
          <w:i/>
          <w:noProof/>
        </w:rPr>
        <w:drawing>
          <wp:inline distT="0" distB="0" distL="0" distR="0" wp14:anchorId="2CD6F5CC" wp14:editId="09C88D45">
            <wp:extent cx="5842857" cy="3529055"/>
            <wp:effectExtent l="0" t="0" r="5715" b="0"/>
            <wp:docPr id="13090417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171" cy="35364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6A28C9" w14:textId="69CBDAB9" w:rsidR="00497AEF" w:rsidRDefault="00497AEF" w:rsidP="00920B15">
      <w:pPr>
        <w:ind w:firstLine="720"/>
      </w:pPr>
      <w:r>
        <w:t>ДДС е изцяло базиран на потреблението на облагаеми стоки и услуги</w:t>
      </w:r>
      <w:r w:rsidR="001A60C8">
        <w:t>.</w:t>
      </w:r>
      <w:r w:rsidR="00291204">
        <w:t xml:space="preserve"> </w:t>
      </w:r>
      <w:r w:rsidR="001A60C8">
        <w:t>В края на 2024 година и до приемането на бюджета в началото на 2025 година редица икономисти предупреждаваха, включително и КТ „Подкрепа“</w:t>
      </w:r>
      <w:r w:rsidR="006E0054">
        <w:t>,</w:t>
      </w:r>
      <w:r w:rsidR="001A60C8">
        <w:t xml:space="preserve"> за надценяване на заложената събираемост на ДДС.</w:t>
      </w:r>
    </w:p>
    <w:p w14:paraId="7421EFDB" w14:textId="683ECDBA" w:rsidR="001A60C8" w:rsidRDefault="0000780E" w:rsidP="00920B15">
      <w:pPr>
        <w:ind w:firstLine="720"/>
      </w:pPr>
      <w:r>
        <w:t xml:space="preserve">При този прогнозен Брутен вътрешен продукт и останалите параметри от прогнозната макрорамка </w:t>
      </w:r>
      <w:r w:rsidR="00876F12">
        <w:t>беше ясно, че ще бъде трудно, даже неизпълнимо достигането на подобен приход.</w:t>
      </w:r>
    </w:p>
    <w:p w14:paraId="4C674597" w14:textId="77777777" w:rsidR="00876F12" w:rsidRPr="00497AEF" w:rsidRDefault="00876F12" w:rsidP="00920B15">
      <w:pPr>
        <w:ind w:firstLine="720"/>
      </w:pPr>
    </w:p>
    <w:p w14:paraId="147967AE" w14:textId="37F0474E" w:rsidR="00E94100" w:rsidRDefault="00E94100">
      <w:pPr>
        <w:jc w:val="left"/>
      </w:pPr>
      <w:r>
        <w:br w:type="page"/>
      </w:r>
    </w:p>
    <w:p w14:paraId="108B3AD5" w14:textId="0DFB8B84" w:rsidR="008103B3" w:rsidRPr="008103B3" w:rsidRDefault="008103B3" w:rsidP="00E81C3F">
      <w:pPr>
        <w:jc w:val="center"/>
        <w:rPr>
          <w:b/>
        </w:rPr>
      </w:pPr>
      <w:r w:rsidRPr="008103B3">
        <w:rPr>
          <w:b/>
        </w:rPr>
        <w:lastRenderedPageBreak/>
        <w:t>КОРПОРАТИВЕН ДАНЪК</w:t>
      </w:r>
    </w:p>
    <w:p w14:paraId="4EB6ADCF" w14:textId="58AB1D1C" w:rsidR="00FA14D3" w:rsidRDefault="00F97708" w:rsidP="00981018">
      <w:pPr>
        <w:ind w:firstLine="720"/>
      </w:pPr>
      <w:r w:rsidRPr="00563085">
        <w:t xml:space="preserve">Очаква се </w:t>
      </w:r>
      <w:r w:rsidRPr="00563085">
        <w:rPr>
          <w:b/>
        </w:rPr>
        <w:t>корпоративния</w:t>
      </w:r>
      <w:r w:rsidR="000B6AC4">
        <w:rPr>
          <w:b/>
        </w:rPr>
        <w:t>т</w:t>
      </w:r>
      <w:r w:rsidRPr="00563085">
        <w:rPr>
          <w:b/>
        </w:rPr>
        <w:t xml:space="preserve"> данък</w:t>
      </w:r>
      <w:r w:rsidRPr="00563085">
        <w:t xml:space="preserve"> да се събере, като се вземе предвид </w:t>
      </w:r>
      <w:r w:rsidR="00710460" w:rsidRPr="00563085">
        <w:t>авансовото</w:t>
      </w:r>
      <w:r w:rsidRPr="00563085">
        <w:t xml:space="preserve"> плащане на данък от банките в размер на 500 млн.</w:t>
      </w:r>
      <w:r w:rsidR="00F74AC9">
        <w:t xml:space="preserve"> </w:t>
      </w:r>
      <w:r w:rsidRPr="00563085">
        <w:t>лв.</w:t>
      </w:r>
      <w:r w:rsidR="00DF5F69">
        <w:t xml:space="preserve"> за 2026 г.</w:t>
      </w:r>
      <w:r w:rsidRPr="00563085">
        <w:t>, през м.</w:t>
      </w:r>
      <w:r w:rsidR="00512E2D">
        <w:t xml:space="preserve"> </w:t>
      </w:r>
      <w:r w:rsidRPr="00563085">
        <w:t xml:space="preserve">юни 2025 година, но това </w:t>
      </w:r>
      <w:r w:rsidR="00710460" w:rsidRPr="00563085">
        <w:t>естествено</w:t>
      </w:r>
      <w:r w:rsidRPr="00563085">
        <w:t xml:space="preserve"> ще доведе до </w:t>
      </w:r>
      <w:r w:rsidR="00710460" w:rsidRPr="00563085">
        <w:t>ефекти върху прихода от него през 2026 година.</w:t>
      </w:r>
    </w:p>
    <w:p w14:paraId="27BADA38" w14:textId="63D48AAD" w:rsidR="00E94100" w:rsidRDefault="00E94100" w:rsidP="00E94100">
      <w:pPr>
        <w:ind w:firstLine="720"/>
        <w:jc w:val="right"/>
        <w:rPr>
          <w:i/>
          <w:lang w:val="en-US"/>
        </w:rPr>
      </w:pPr>
      <w:r>
        <w:rPr>
          <w:i/>
        </w:rPr>
        <w:t>г</w:t>
      </w:r>
      <w:r w:rsidRPr="00E73A7F">
        <w:rPr>
          <w:i/>
        </w:rPr>
        <w:t>раф.</w:t>
      </w:r>
      <w:r>
        <w:rPr>
          <w:i/>
        </w:rPr>
        <w:t>3</w:t>
      </w:r>
    </w:p>
    <w:p w14:paraId="1A687A05" w14:textId="1661B221" w:rsidR="000B6AC4" w:rsidRPr="00043607" w:rsidRDefault="00281EE9" w:rsidP="00043607">
      <w:pPr>
        <w:jc w:val="right"/>
        <w:rPr>
          <w:i/>
          <w:lang w:val="en-US"/>
        </w:rPr>
      </w:pPr>
      <w:r>
        <w:rPr>
          <w:i/>
          <w:noProof/>
          <w:lang w:val="en-US"/>
        </w:rPr>
        <w:drawing>
          <wp:inline distT="0" distB="0" distL="0" distR="0" wp14:anchorId="24B25572" wp14:editId="29F8CFD3">
            <wp:extent cx="5959091" cy="3838664"/>
            <wp:effectExtent l="0" t="0" r="3810" b="0"/>
            <wp:docPr id="18800137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713" cy="3846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7CFAFB" w14:textId="3788AD23" w:rsidR="003D7E66" w:rsidRDefault="00DF5F69" w:rsidP="00E37368">
      <w:pPr>
        <w:ind w:firstLine="720"/>
      </w:pPr>
      <w:r w:rsidRPr="00DF5F69">
        <w:t xml:space="preserve">На фона на продължаващата рецесия във </w:t>
      </w:r>
      <w:r w:rsidR="008103B3" w:rsidRPr="00DF5F69">
        <w:t>водещите</w:t>
      </w:r>
      <w:r w:rsidRPr="00DF5F69">
        <w:t xml:space="preserve"> европейски икономики, лошата година за земеделието в България</w:t>
      </w:r>
      <w:r w:rsidR="00E37368">
        <w:t>,</w:t>
      </w:r>
      <w:r w:rsidR="006672BF">
        <w:t xml:space="preserve"> </w:t>
      </w:r>
      <w:r w:rsidR="00E37368">
        <w:t xml:space="preserve">спада в индустриалното производство у нас </w:t>
      </w:r>
      <w:r w:rsidR="006672BF">
        <w:t xml:space="preserve">и прогнозите за </w:t>
      </w:r>
      <w:r w:rsidR="00E37368">
        <w:t>слаб ръст на икономиките в еврозоната</w:t>
      </w:r>
      <w:r w:rsidR="00B520E4">
        <w:t>, непредсказуемата икономическа политика на САЩ, цените на енергията и др</w:t>
      </w:r>
      <w:r w:rsidR="00F52B41">
        <w:t>у</w:t>
      </w:r>
      <w:r w:rsidR="00B520E4">
        <w:t>ги</w:t>
      </w:r>
      <w:r w:rsidR="00F52B41">
        <w:t>,</w:t>
      </w:r>
      <w:r w:rsidR="00E37368">
        <w:t xml:space="preserve"> </w:t>
      </w:r>
      <w:r w:rsidR="006672BF">
        <w:t xml:space="preserve">е възможно да се допусне и неизпълнение на приходите от корпоративен данък с до </w:t>
      </w:r>
      <w:r w:rsidR="00E37368">
        <w:t>0,2 млрд.</w:t>
      </w:r>
      <w:r w:rsidR="00F74AC9">
        <w:t xml:space="preserve"> </w:t>
      </w:r>
      <w:r w:rsidR="00E37368">
        <w:t>лв.</w:t>
      </w:r>
    </w:p>
    <w:p w14:paraId="105EC203" w14:textId="1E45A1FE" w:rsidR="006B1093" w:rsidRPr="005F78AF" w:rsidRDefault="006B1093" w:rsidP="00E37368">
      <w:pPr>
        <w:ind w:firstLine="720"/>
      </w:pPr>
      <w:r>
        <w:t xml:space="preserve">Не трябва да се пропускат и допълнителните разходи за предприятията при въвеждане на еврото, което статистически води до около 2% допълнителни разходи, съответно до намаляване на печалбите с до 0,2% на </w:t>
      </w:r>
      <w:r w:rsidRPr="005F78AF">
        <w:t>годишна база.</w:t>
      </w:r>
    </w:p>
    <w:p w14:paraId="20B544AE" w14:textId="679D25C6" w:rsidR="00E04CF4" w:rsidRPr="005F78AF" w:rsidRDefault="00E04CF4">
      <w:pPr>
        <w:jc w:val="left"/>
      </w:pPr>
      <w:r w:rsidRPr="005F78AF">
        <w:br w:type="page"/>
      </w:r>
    </w:p>
    <w:p w14:paraId="12BF0083" w14:textId="3044F739" w:rsidR="003D7E66" w:rsidRPr="00E81C3F" w:rsidRDefault="005F78AF" w:rsidP="00E81C3F">
      <w:pPr>
        <w:jc w:val="center"/>
        <w:rPr>
          <w:b/>
        </w:rPr>
      </w:pPr>
      <w:r w:rsidRPr="00E81C3F">
        <w:rPr>
          <w:b/>
        </w:rPr>
        <w:lastRenderedPageBreak/>
        <w:t>ДАНЪК ВЪРХУ ДОХОДИТЕ НА ФИЗИЧЕСКИТЕ ЛИЦА</w:t>
      </w:r>
    </w:p>
    <w:p w14:paraId="65DCEDD6" w14:textId="3BB85DF3" w:rsidR="00E04CF4" w:rsidRDefault="00E31E0D" w:rsidP="00E31E0D">
      <w:pPr>
        <w:ind w:firstLine="720"/>
      </w:pPr>
      <w:r w:rsidRPr="00E31E0D">
        <w:t xml:space="preserve">При ДДФЛ не се очакват </w:t>
      </w:r>
      <w:r w:rsidR="002F7C52">
        <w:t xml:space="preserve">големи </w:t>
      </w:r>
      <w:r w:rsidRPr="00E31E0D">
        <w:t>изненади, освен ако не се засили рецесията в еврозоната</w:t>
      </w:r>
      <w:r w:rsidR="002F7C52">
        <w:t>,</w:t>
      </w:r>
      <w:r w:rsidRPr="00E31E0D">
        <w:t xml:space="preserve"> </w:t>
      </w:r>
      <w:r w:rsidR="00C965A5">
        <w:t>продължи спад</w:t>
      </w:r>
      <w:r w:rsidR="00F74AC9">
        <w:t>ът</w:t>
      </w:r>
      <w:r w:rsidR="00C965A5">
        <w:t xml:space="preserve"> в индустриалното производство у нас, </w:t>
      </w:r>
      <w:r w:rsidR="002F7C52">
        <w:t xml:space="preserve">както </w:t>
      </w:r>
      <w:r w:rsidR="00C965A5">
        <w:t>ефектите от непредсказуемата</w:t>
      </w:r>
      <w:r w:rsidR="002F7C52">
        <w:t xml:space="preserve"> </w:t>
      </w:r>
      <w:r w:rsidR="00C965A5">
        <w:t>тарифна митническа политика на САЩ</w:t>
      </w:r>
      <w:r w:rsidR="002F7C52">
        <w:t xml:space="preserve"> </w:t>
      </w:r>
      <w:r w:rsidR="00DD3498">
        <w:t>върху веригите на доставки и географските решения за закриване и откриване на нови производства. Част от тези ефекти могат да променят икономическата картина в</w:t>
      </w:r>
      <w:r w:rsidRPr="00E31E0D">
        <w:t xml:space="preserve"> България още тази година</w:t>
      </w:r>
      <w:r w:rsidR="00DD3498">
        <w:t>.</w:t>
      </w:r>
    </w:p>
    <w:p w14:paraId="4B2084F7" w14:textId="2FE644A8" w:rsidR="00E31E0D" w:rsidRPr="00E31E0D" w:rsidRDefault="00DD3498" w:rsidP="00E31E0D">
      <w:pPr>
        <w:ind w:firstLine="720"/>
      </w:pPr>
      <w:r>
        <w:t>При тези допускания вероятно приходът от ДДФЛ ще се движи в диапазона от 7,3 до 8,</w:t>
      </w:r>
      <w:r w:rsidR="00991A3F">
        <w:t>3</w:t>
      </w:r>
      <w:r>
        <w:t xml:space="preserve"> млрд.</w:t>
      </w:r>
      <w:r w:rsidR="00F74AC9">
        <w:t xml:space="preserve"> </w:t>
      </w:r>
      <w:r>
        <w:t>лв.</w:t>
      </w:r>
      <w:r w:rsidR="00D4429E">
        <w:t xml:space="preserve">, </w:t>
      </w:r>
      <w:proofErr w:type="spellStart"/>
      <w:r w:rsidR="00D4429E">
        <w:t>т.е</w:t>
      </w:r>
      <w:proofErr w:type="spellEnd"/>
      <w:r w:rsidR="00D4429E">
        <w:t xml:space="preserve"> е възможно неизпълнение на приходите от </w:t>
      </w:r>
      <w:r w:rsidR="009C30D1">
        <w:t>0,</w:t>
      </w:r>
      <w:r w:rsidR="00042B46">
        <w:rPr>
          <w:lang w:val="en-US"/>
        </w:rPr>
        <w:t>7</w:t>
      </w:r>
      <w:r w:rsidR="009C30D1">
        <w:t xml:space="preserve"> млрд. лв. до преизпълнение до 0,3 млрд.</w:t>
      </w:r>
      <w:r w:rsidR="00F74AC9">
        <w:t xml:space="preserve"> </w:t>
      </w:r>
      <w:r w:rsidR="009C30D1">
        <w:t>лв.</w:t>
      </w:r>
    </w:p>
    <w:p w14:paraId="1BA8C683" w14:textId="511D3251" w:rsidR="006B22FF" w:rsidRPr="00E73A7F" w:rsidRDefault="006B22FF" w:rsidP="006B22FF">
      <w:pPr>
        <w:ind w:firstLine="720"/>
        <w:jc w:val="right"/>
        <w:rPr>
          <w:i/>
        </w:rPr>
      </w:pPr>
      <w:r>
        <w:rPr>
          <w:i/>
        </w:rPr>
        <w:t>г</w:t>
      </w:r>
      <w:r w:rsidRPr="00E73A7F">
        <w:rPr>
          <w:i/>
        </w:rPr>
        <w:t>раф.</w:t>
      </w:r>
      <w:r>
        <w:rPr>
          <w:i/>
        </w:rPr>
        <w:t>4</w:t>
      </w:r>
    </w:p>
    <w:p w14:paraId="6518845A" w14:textId="6B0A280C" w:rsidR="003D7E66" w:rsidRDefault="00281EE9" w:rsidP="00563085">
      <w:pPr>
        <w:rPr>
          <w:highlight w:val="yellow"/>
        </w:rPr>
      </w:pPr>
      <w:r>
        <w:rPr>
          <w:noProof/>
          <w:highlight w:val="yellow"/>
        </w:rPr>
        <w:drawing>
          <wp:inline distT="0" distB="0" distL="0" distR="0" wp14:anchorId="6CB5F495" wp14:editId="0DD8A2E9">
            <wp:extent cx="5966888" cy="2630735"/>
            <wp:effectExtent l="0" t="0" r="0" b="0"/>
            <wp:docPr id="153140166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948" cy="26404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6AD283" w14:textId="77777777" w:rsidR="00E3413E" w:rsidRPr="00E3413E" w:rsidRDefault="00E3413E" w:rsidP="00E3413E"/>
    <w:p w14:paraId="3B1AC282" w14:textId="0CA4C3AE" w:rsidR="00E3413E" w:rsidRDefault="00E3413E">
      <w:pPr>
        <w:jc w:val="left"/>
      </w:pPr>
      <w:r>
        <w:br w:type="page"/>
      </w:r>
    </w:p>
    <w:p w14:paraId="0C796EDF" w14:textId="54EDA795" w:rsidR="00903ACE" w:rsidRPr="00E81C3F" w:rsidRDefault="00903ACE" w:rsidP="00903ACE">
      <w:pPr>
        <w:jc w:val="center"/>
        <w:rPr>
          <w:b/>
        </w:rPr>
      </w:pPr>
      <w:r>
        <w:rPr>
          <w:b/>
        </w:rPr>
        <w:lastRenderedPageBreak/>
        <w:t>АКЦИЗИ</w:t>
      </w:r>
    </w:p>
    <w:p w14:paraId="789A52EC" w14:textId="2FE4B746" w:rsidR="003D7E66" w:rsidRDefault="00E3413E" w:rsidP="00E3413E">
      <w:pPr>
        <w:ind w:firstLine="720"/>
      </w:pPr>
      <w:r>
        <w:t xml:space="preserve">Приходите от акцизи </w:t>
      </w:r>
      <w:r w:rsidR="00436AF7">
        <w:t>е възможно да имат леко неизпълнение, продиктувано от рецесията в икономиката и спада в потреблението на акцизни стоки в диапазона от 0,3-0,4 млрд.</w:t>
      </w:r>
      <w:r w:rsidR="00F74AC9">
        <w:t xml:space="preserve"> </w:t>
      </w:r>
      <w:r w:rsidR="00436AF7">
        <w:t>лв.</w:t>
      </w:r>
    </w:p>
    <w:p w14:paraId="12F4DDC0" w14:textId="5321104C" w:rsidR="00436AF7" w:rsidRDefault="00436AF7" w:rsidP="00E3413E">
      <w:pPr>
        <w:ind w:firstLine="720"/>
      </w:pPr>
      <w:r>
        <w:t>Нарастването на цените на основни стоки и услуги, както и спад</w:t>
      </w:r>
      <w:r w:rsidR="00F74AC9">
        <w:t>ът</w:t>
      </w:r>
      <w:r>
        <w:t xml:space="preserve"> в индустриалното производство</w:t>
      </w:r>
      <w:r w:rsidR="001F713E">
        <w:t>,</w:t>
      </w:r>
      <w:r>
        <w:t xml:space="preserve"> вероятно ще доведе до </w:t>
      </w:r>
      <w:r w:rsidR="00014F5E">
        <w:t xml:space="preserve">измерим </w:t>
      </w:r>
      <w:r>
        <w:t>спад в потреблението, а акцизът обикновено е върху количеството, с едно изключение – тютюневите изделия.</w:t>
      </w:r>
    </w:p>
    <w:p w14:paraId="68203307" w14:textId="14FB861A" w:rsidR="006B22FF" w:rsidRPr="00E73A7F" w:rsidRDefault="006B22FF" w:rsidP="006B22FF">
      <w:pPr>
        <w:ind w:firstLine="720"/>
        <w:jc w:val="right"/>
        <w:rPr>
          <w:i/>
        </w:rPr>
      </w:pPr>
      <w:r>
        <w:rPr>
          <w:i/>
        </w:rPr>
        <w:t>г</w:t>
      </w:r>
      <w:r w:rsidRPr="00E73A7F">
        <w:rPr>
          <w:i/>
        </w:rPr>
        <w:t>раф.</w:t>
      </w:r>
      <w:r>
        <w:rPr>
          <w:i/>
        </w:rPr>
        <w:t>5</w:t>
      </w:r>
    </w:p>
    <w:p w14:paraId="45DEC6C1" w14:textId="40985560" w:rsidR="005B0FD0" w:rsidRDefault="006E4863">
      <w:pPr>
        <w:jc w:val="left"/>
      </w:pPr>
      <w:r>
        <w:rPr>
          <w:noProof/>
        </w:rPr>
        <w:drawing>
          <wp:inline distT="0" distB="0" distL="0" distR="0" wp14:anchorId="6F77AFC0" wp14:editId="626F7EB8">
            <wp:extent cx="5834395" cy="3304955"/>
            <wp:effectExtent l="0" t="0" r="0" b="0"/>
            <wp:docPr id="137568210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435" cy="3312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0FD0">
        <w:br w:type="page"/>
      </w:r>
    </w:p>
    <w:p w14:paraId="07FAE334" w14:textId="59E2C321" w:rsidR="00315AF3" w:rsidRPr="00010B19" w:rsidRDefault="00690AC7" w:rsidP="00CD6F34">
      <w:pPr>
        <w:shd w:val="clear" w:color="auto" w:fill="F7CAAC" w:themeFill="accent2" w:themeFillTint="66"/>
        <w:jc w:val="center"/>
        <w:rPr>
          <w:b/>
          <w:bCs/>
        </w:rPr>
      </w:pPr>
      <w:r w:rsidRPr="00CD6F34">
        <w:rPr>
          <w:b/>
          <w:bCs/>
        </w:rPr>
        <w:lastRenderedPageBreak/>
        <w:t xml:space="preserve">ІІ. </w:t>
      </w:r>
      <w:r w:rsidR="00E81C3F">
        <w:rPr>
          <w:b/>
          <w:bCs/>
        </w:rPr>
        <w:t>РАЗХОДИ</w:t>
      </w:r>
    </w:p>
    <w:p w14:paraId="0A611F8B" w14:textId="55B46393" w:rsidR="00690AC7" w:rsidRPr="00A95511" w:rsidRDefault="00B82AB9" w:rsidP="003E71C0">
      <w:pPr>
        <w:ind w:firstLine="720"/>
      </w:pPr>
      <w:r w:rsidRPr="00A95511">
        <w:t xml:space="preserve">При </w:t>
      </w:r>
      <w:r w:rsidR="00CF2A65" w:rsidRPr="00A95511">
        <w:t>реалистичен</w:t>
      </w:r>
      <w:r w:rsidRPr="00A95511">
        <w:t xml:space="preserve"> вариант на прогнозиране </w:t>
      </w:r>
      <w:r w:rsidR="00873E17" w:rsidRPr="00A95511">
        <w:t xml:space="preserve">изпълнението </w:t>
      </w:r>
      <w:r w:rsidRPr="00A95511">
        <w:t xml:space="preserve">на разходната част, </w:t>
      </w:r>
      <w:r w:rsidR="00F74AC9">
        <w:t>според данните на КТ „Подкрепа“,</w:t>
      </w:r>
      <w:r w:rsidRPr="00A95511">
        <w:t xml:space="preserve"> икономията би възлизала на около </w:t>
      </w:r>
      <w:r w:rsidR="00A95511" w:rsidRPr="00A95511">
        <w:t>2,2</w:t>
      </w:r>
      <w:r w:rsidRPr="00A95511">
        <w:t xml:space="preserve"> млрд.</w:t>
      </w:r>
      <w:r w:rsidR="00F74AC9">
        <w:t xml:space="preserve"> </w:t>
      </w:r>
      <w:r w:rsidRPr="00A95511">
        <w:t>лв.</w:t>
      </w:r>
      <w:r w:rsidR="0052622C" w:rsidRPr="00A95511">
        <w:t xml:space="preserve">, при допускането че Правителството ще извърши трансфери към общините </w:t>
      </w:r>
      <w:r w:rsidR="00A84C36" w:rsidRPr="00A95511">
        <w:t>на нивото им от 2024 г., предвид бедствията на територията на страната, кризата с водата и др.</w:t>
      </w:r>
      <w:r w:rsidR="00F74AC9">
        <w:t xml:space="preserve"> </w:t>
      </w:r>
      <w:r w:rsidR="00A84C36" w:rsidRPr="00A95511">
        <w:t>подобни.</w:t>
      </w:r>
    </w:p>
    <w:p w14:paraId="04F2A5CA" w14:textId="620AF297" w:rsidR="00245CF5" w:rsidRDefault="00245CF5" w:rsidP="003E71C0">
      <w:pPr>
        <w:ind w:firstLine="720"/>
        <w:rPr>
          <w:b/>
          <w:bCs/>
        </w:rPr>
      </w:pPr>
      <w:r w:rsidRPr="00A95511">
        <w:t xml:space="preserve">Ако се изпълни заложеното като трансфери към общините </w:t>
      </w:r>
      <w:r w:rsidR="00F90DFD" w:rsidRPr="00A95511">
        <w:t xml:space="preserve">и </w:t>
      </w:r>
      <w:r w:rsidR="005F16E4">
        <w:t>няма</w:t>
      </w:r>
      <w:r w:rsidR="00F90DFD" w:rsidRPr="00A95511">
        <w:t xml:space="preserve"> преразход за субсидии</w:t>
      </w:r>
      <w:r w:rsidRPr="00A95511">
        <w:t xml:space="preserve">, то </w:t>
      </w:r>
      <w:r w:rsidRPr="00A95511">
        <w:rPr>
          <w:b/>
          <w:bCs/>
        </w:rPr>
        <w:t>иконом</w:t>
      </w:r>
      <w:r w:rsidR="00E225D6" w:rsidRPr="00A95511">
        <w:rPr>
          <w:b/>
          <w:bCs/>
        </w:rPr>
        <w:t xml:space="preserve">ията в разходната част би била </w:t>
      </w:r>
      <w:r w:rsidR="00A95511" w:rsidRPr="00A95511">
        <w:rPr>
          <w:b/>
          <w:bCs/>
        </w:rPr>
        <w:t>4,3</w:t>
      </w:r>
      <w:r w:rsidRPr="00A95511">
        <w:rPr>
          <w:b/>
          <w:bCs/>
        </w:rPr>
        <w:t xml:space="preserve"> млрд. лв.</w:t>
      </w:r>
    </w:p>
    <w:p w14:paraId="64459790" w14:textId="4709AC37" w:rsidR="00DE5A45" w:rsidRDefault="00E225D6" w:rsidP="003E71C0">
      <w:pPr>
        <w:ind w:firstLine="720"/>
        <w:rPr>
          <w:bCs/>
          <w:i/>
          <w:sz w:val="24"/>
          <w:szCs w:val="24"/>
        </w:rPr>
      </w:pPr>
      <w:r w:rsidRPr="00E225D6">
        <w:rPr>
          <w:bCs/>
          <w:i/>
          <w:sz w:val="24"/>
          <w:szCs w:val="24"/>
        </w:rPr>
        <w:t>(В графиките по</w:t>
      </w:r>
      <w:r w:rsidR="00D34ED6">
        <w:rPr>
          <w:bCs/>
          <w:i/>
          <w:sz w:val="24"/>
          <w:szCs w:val="24"/>
        </w:rPr>
        <w:t>-</w:t>
      </w:r>
      <w:r w:rsidRPr="00E225D6">
        <w:rPr>
          <w:bCs/>
          <w:i/>
          <w:sz w:val="24"/>
          <w:szCs w:val="24"/>
        </w:rPr>
        <w:t>долу инфлацията е показана с натрупване за периода</w:t>
      </w:r>
      <w:r w:rsidR="003B1A0C">
        <w:rPr>
          <w:bCs/>
          <w:i/>
          <w:sz w:val="24"/>
          <w:szCs w:val="24"/>
        </w:rPr>
        <w:t xml:space="preserve">. Данните за разходите </w:t>
      </w:r>
      <w:r w:rsidR="00CF2A65">
        <w:rPr>
          <w:bCs/>
          <w:i/>
          <w:sz w:val="24"/>
          <w:szCs w:val="24"/>
        </w:rPr>
        <w:t>за 2025 година са по закона за бюджета</w:t>
      </w:r>
      <w:r w:rsidRPr="00E225D6">
        <w:rPr>
          <w:bCs/>
          <w:i/>
          <w:sz w:val="24"/>
          <w:szCs w:val="24"/>
        </w:rPr>
        <w:t>)</w:t>
      </w:r>
    </w:p>
    <w:p w14:paraId="09100FF8" w14:textId="77777777" w:rsidR="005E7883" w:rsidRPr="00E225D6" w:rsidRDefault="005E7883" w:rsidP="003E71C0">
      <w:pPr>
        <w:ind w:firstLine="720"/>
        <w:rPr>
          <w:i/>
          <w:sz w:val="24"/>
          <w:szCs w:val="24"/>
        </w:rPr>
      </w:pPr>
    </w:p>
    <w:p w14:paraId="2DCBF3F6" w14:textId="79E8FC5C" w:rsidR="00C31BEC" w:rsidRPr="00CB5264" w:rsidRDefault="00813B96" w:rsidP="00DE5A45">
      <w:pPr>
        <w:ind w:firstLine="720"/>
        <w:jc w:val="center"/>
        <w:rPr>
          <w:b/>
          <w:bCs/>
        </w:rPr>
      </w:pPr>
      <w:r w:rsidRPr="00CB5264">
        <w:rPr>
          <w:b/>
          <w:bCs/>
        </w:rPr>
        <w:t>Разходи за персонал</w:t>
      </w:r>
    </w:p>
    <w:p w14:paraId="059A947E" w14:textId="7873591B" w:rsidR="00CB5264" w:rsidRDefault="00AC21EF" w:rsidP="003E71C0">
      <w:pPr>
        <w:ind w:firstLine="720"/>
      </w:pPr>
      <w:r>
        <w:t>През 2024 г. разходите за персонал по отчет са 9,9 млрд.</w:t>
      </w:r>
      <w:r w:rsidR="00F74AC9">
        <w:t xml:space="preserve"> </w:t>
      </w:r>
      <w:r>
        <w:t>лв. Заложените по закон за 2025 година разходи за персонал са 12,7 млрд.</w:t>
      </w:r>
      <w:r w:rsidR="00F74AC9">
        <w:t xml:space="preserve"> </w:t>
      </w:r>
      <w:r>
        <w:t>лв.</w:t>
      </w:r>
      <w:r w:rsidR="009B6384">
        <w:t xml:space="preserve"> (увеличение с 28</w:t>
      </w:r>
      <w:r w:rsidR="00C44D4D">
        <w:t>%).</w:t>
      </w:r>
    </w:p>
    <w:p w14:paraId="00CC7997" w14:textId="0E6CEFB2" w:rsidR="00E408EB" w:rsidRPr="00E73A7F" w:rsidRDefault="002A6C61" w:rsidP="00E408EB">
      <w:pPr>
        <w:ind w:firstLine="720"/>
        <w:jc w:val="right"/>
        <w:rPr>
          <w:i/>
        </w:rPr>
      </w:pPr>
      <w:r>
        <w:rPr>
          <w:noProof/>
          <w:lang w:eastAsia="bg-BG"/>
        </w:rPr>
        <w:drawing>
          <wp:anchor distT="0" distB="0" distL="114300" distR="114300" simplePos="0" relativeHeight="251669504" behindDoc="0" locked="0" layoutInCell="1" allowOverlap="1" wp14:anchorId="1D071ADB" wp14:editId="65A1DE43">
            <wp:simplePos x="0" y="0"/>
            <wp:positionH relativeFrom="column">
              <wp:posOffset>707390</wp:posOffset>
            </wp:positionH>
            <wp:positionV relativeFrom="paragraph">
              <wp:posOffset>243205</wp:posOffset>
            </wp:positionV>
            <wp:extent cx="4242435" cy="3418840"/>
            <wp:effectExtent l="0" t="0" r="5715" b="0"/>
            <wp:wrapTopAndBottom/>
            <wp:docPr id="8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35" cy="341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8EB">
        <w:rPr>
          <w:i/>
        </w:rPr>
        <w:t>г</w:t>
      </w:r>
      <w:r w:rsidR="00E408EB" w:rsidRPr="00E73A7F">
        <w:rPr>
          <w:i/>
        </w:rPr>
        <w:t>раф.</w:t>
      </w:r>
      <w:r w:rsidR="00E408EB">
        <w:rPr>
          <w:i/>
        </w:rPr>
        <w:t>6</w:t>
      </w:r>
    </w:p>
    <w:p w14:paraId="275BB529" w14:textId="7C2E63B4" w:rsidR="00AC21EF" w:rsidRDefault="00AC21EF" w:rsidP="003E71C0">
      <w:pPr>
        <w:ind w:firstLine="720"/>
      </w:pPr>
      <w:r>
        <w:t xml:space="preserve">Към 30 юни 2025 година разходите са в размер на </w:t>
      </w:r>
      <w:r w:rsidR="00E0368C">
        <w:t>5,9 млрд.</w:t>
      </w:r>
      <w:r w:rsidR="00F74AC9">
        <w:t xml:space="preserve"> </w:t>
      </w:r>
      <w:r w:rsidR="00E0368C">
        <w:t>лв. или 46,9% от плана.</w:t>
      </w:r>
    </w:p>
    <w:p w14:paraId="58ECC0F6" w14:textId="0604B33E" w:rsidR="00E0368C" w:rsidRDefault="00E0368C" w:rsidP="003E71C0">
      <w:pPr>
        <w:ind w:firstLine="720"/>
      </w:pPr>
      <w:r>
        <w:t>На база отчета към м. юни и на база историческите данни и дела на тези разходи към БВП</w:t>
      </w:r>
      <w:r w:rsidR="00C44D4D">
        <w:t xml:space="preserve"> (около 5%)</w:t>
      </w:r>
      <w:r>
        <w:t xml:space="preserve">, при условие, че няма </w:t>
      </w:r>
      <w:r w:rsidR="00C70BA8">
        <w:t>извънредни събития, може да се прогнозира изпълнение на разходите в диапазон от 11,9 млрд.</w:t>
      </w:r>
      <w:r w:rsidR="00F74AC9">
        <w:t xml:space="preserve"> </w:t>
      </w:r>
      <w:r w:rsidR="00C70BA8">
        <w:t xml:space="preserve">лв. (94%) </w:t>
      </w:r>
      <w:r w:rsidR="00C70BA8">
        <w:lastRenderedPageBreak/>
        <w:t>до разчетеното в закон</w:t>
      </w:r>
      <w:r w:rsidR="00DE5A45">
        <w:t>а</w:t>
      </w:r>
      <w:r w:rsidR="00C70BA8">
        <w:t>.</w:t>
      </w:r>
      <w:r w:rsidR="00DE5A45">
        <w:t xml:space="preserve"> Възможно е да се осъществи икономия на средства в размер на 0,8 млрд.</w:t>
      </w:r>
      <w:r w:rsidR="00F74AC9">
        <w:t xml:space="preserve"> </w:t>
      </w:r>
      <w:r w:rsidR="00DE5A45">
        <w:t>лв.</w:t>
      </w:r>
    </w:p>
    <w:p w14:paraId="4A5C33D0" w14:textId="77777777" w:rsidR="00167914" w:rsidRDefault="00167914" w:rsidP="003E71C0">
      <w:pPr>
        <w:ind w:firstLine="720"/>
      </w:pPr>
    </w:p>
    <w:p w14:paraId="27E41896" w14:textId="7A9ED4C7" w:rsidR="00813B96" w:rsidRPr="00CB5264" w:rsidRDefault="00813B96" w:rsidP="00220DC2">
      <w:pPr>
        <w:jc w:val="center"/>
        <w:rPr>
          <w:b/>
          <w:bCs/>
        </w:rPr>
      </w:pPr>
      <w:r w:rsidRPr="00CB5264">
        <w:rPr>
          <w:b/>
          <w:bCs/>
        </w:rPr>
        <w:t>Издръжка</w:t>
      </w:r>
    </w:p>
    <w:p w14:paraId="18F92AC9" w14:textId="4EE2890F" w:rsidR="00CB5264" w:rsidRDefault="000A15A5" w:rsidP="003E71C0">
      <w:pPr>
        <w:ind w:firstLine="720"/>
      </w:pPr>
      <w:r>
        <w:t>Издръжката за 2025 година е заложена в размер на 5,4 млрд.</w:t>
      </w:r>
      <w:r w:rsidR="00F74AC9">
        <w:t xml:space="preserve"> </w:t>
      </w:r>
      <w:r>
        <w:t>лв. Отчетът към 30 юни 2025 г. е 1,5 млрд.</w:t>
      </w:r>
      <w:r w:rsidR="00F74AC9">
        <w:t xml:space="preserve"> </w:t>
      </w:r>
      <w:r>
        <w:t xml:space="preserve">лв., т.е. изпълнението е </w:t>
      </w:r>
      <w:r w:rsidR="00B673C6">
        <w:t>27,6% от годишния разчет.</w:t>
      </w:r>
      <w:r w:rsidR="0056235D">
        <w:t xml:space="preserve"> Може </w:t>
      </w:r>
      <w:r w:rsidR="00CB4CFD">
        <w:t xml:space="preserve">обосновано </w:t>
      </w:r>
      <w:r w:rsidR="0056235D">
        <w:t>да се предположи, че ще има значително неизпълнение на тези разходи.</w:t>
      </w:r>
      <w:r w:rsidR="00CB4CFD">
        <w:t xml:space="preserve"> Максималното усвояване е 2,5 пъти, спрямо полугодието на съответната година за последните години, т.е. р</w:t>
      </w:r>
      <w:r w:rsidR="003E478E">
        <w:t>азходът може да достигне 3,9-4,3 млрд.</w:t>
      </w:r>
      <w:r w:rsidR="00F74AC9">
        <w:t xml:space="preserve"> </w:t>
      </w:r>
      <w:r w:rsidR="003E478E">
        <w:t>лв. в края на годината.</w:t>
      </w:r>
    </w:p>
    <w:p w14:paraId="68507644" w14:textId="796DB0D8" w:rsidR="00567CD5" w:rsidRPr="00567CD5" w:rsidRDefault="00567CD5" w:rsidP="00567CD5">
      <w:pPr>
        <w:ind w:firstLine="720"/>
        <w:jc w:val="right"/>
        <w:rPr>
          <w:i/>
        </w:rPr>
      </w:pPr>
      <w:r w:rsidRPr="00E408EB">
        <w:rPr>
          <w:i/>
        </w:rPr>
        <w:t>граф.</w:t>
      </w:r>
      <w:r w:rsidR="00E408EB" w:rsidRPr="00E408EB">
        <w:rPr>
          <w:i/>
        </w:rPr>
        <w:t xml:space="preserve"> 7</w:t>
      </w:r>
    </w:p>
    <w:p w14:paraId="27FE8248" w14:textId="63B0F151" w:rsidR="003E478E" w:rsidRDefault="00632FA6" w:rsidP="003E71C0">
      <w:pPr>
        <w:ind w:firstLine="720"/>
      </w:pPr>
      <w:r>
        <w:rPr>
          <w:noProof/>
          <w:lang w:eastAsia="bg-BG"/>
        </w:rPr>
        <w:drawing>
          <wp:anchor distT="0" distB="0" distL="114300" distR="114300" simplePos="0" relativeHeight="251683840" behindDoc="0" locked="0" layoutInCell="1" allowOverlap="1" wp14:anchorId="4DEEBF2F" wp14:editId="3946A12C">
            <wp:simplePos x="0" y="0"/>
            <wp:positionH relativeFrom="column">
              <wp:posOffset>1699260</wp:posOffset>
            </wp:positionH>
            <wp:positionV relativeFrom="paragraph">
              <wp:posOffset>99060</wp:posOffset>
            </wp:positionV>
            <wp:extent cx="4243705" cy="3408045"/>
            <wp:effectExtent l="0" t="0" r="4445" b="1905"/>
            <wp:wrapSquare wrapText="bothSides"/>
            <wp:docPr id="25" name="Картина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705" cy="340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3C6">
        <w:t>За сравнение през 2024 година разходите за издръжка по отчет са 3,7 млрд.</w:t>
      </w:r>
      <w:r w:rsidR="00F74AC9">
        <w:t xml:space="preserve"> </w:t>
      </w:r>
      <w:r w:rsidR="00B673C6">
        <w:t>лв.</w:t>
      </w:r>
      <w:r w:rsidR="00C31FE6">
        <w:t xml:space="preserve"> </w:t>
      </w:r>
    </w:p>
    <w:p w14:paraId="20AE9557" w14:textId="77777777" w:rsidR="0059144C" w:rsidRDefault="00C31FE6" w:rsidP="003E71C0">
      <w:pPr>
        <w:ind w:firstLine="720"/>
      </w:pPr>
      <w:r>
        <w:t>Средно разходите за издръжка са около 2% от БВП.</w:t>
      </w:r>
      <w:r w:rsidR="0059144C">
        <w:t xml:space="preserve"> </w:t>
      </w:r>
      <w:r>
        <w:t>Планираното нарастване на разходите в закона спрямо 2024 година е 46%, което определено има нужда от допълнителни обяснения</w:t>
      </w:r>
      <w:r w:rsidR="0059144C">
        <w:t xml:space="preserve"> и не е ясно какво точно е наложило подобно покачване на тези разходи</w:t>
      </w:r>
      <w:r>
        <w:t>.</w:t>
      </w:r>
    </w:p>
    <w:p w14:paraId="77671A76" w14:textId="64E2C734" w:rsidR="00817BCE" w:rsidRDefault="00C31FE6" w:rsidP="003E71C0">
      <w:pPr>
        <w:ind w:firstLine="720"/>
      </w:pPr>
      <w:r>
        <w:t xml:space="preserve">Както и да се пресмята очакваното изпълнение, то би следвало разходите да не надвишат </w:t>
      </w:r>
      <w:r w:rsidR="007628B5">
        <w:t xml:space="preserve">3,9 - </w:t>
      </w:r>
      <w:r w:rsidR="00F05B96">
        <w:t>4,3 млрд.</w:t>
      </w:r>
      <w:r w:rsidR="00F74AC9">
        <w:t xml:space="preserve"> </w:t>
      </w:r>
      <w:r w:rsidR="00F05B96">
        <w:t xml:space="preserve">лв.(това е </w:t>
      </w:r>
      <w:r w:rsidR="0085333A">
        <w:t>нарастване с</w:t>
      </w:r>
      <w:r w:rsidR="00F05B96">
        <w:t xml:space="preserve"> </w:t>
      </w:r>
      <w:r w:rsidR="0085333A">
        <w:t>16% спрямо предходната година</w:t>
      </w:r>
      <w:r w:rsidR="0056235D">
        <w:t>).</w:t>
      </w:r>
      <w:r w:rsidR="00F05B96">
        <w:t xml:space="preserve">, т.е. </w:t>
      </w:r>
      <w:r w:rsidR="0059144C">
        <w:t xml:space="preserve">налице е </w:t>
      </w:r>
      <w:r w:rsidR="00F05B96">
        <w:t>резерв от около 1,1</w:t>
      </w:r>
      <w:r w:rsidR="0085333A">
        <w:t xml:space="preserve"> </w:t>
      </w:r>
      <w:r w:rsidR="0056235D">
        <w:t xml:space="preserve">– 1,5 </w:t>
      </w:r>
      <w:r w:rsidR="0085333A">
        <w:t>млрд.</w:t>
      </w:r>
      <w:r w:rsidR="00F74AC9">
        <w:t xml:space="preserve"> </w:t>
      </w:r>
      <w:r w:rsidR="0085333A">
        <w:t>лв.</w:t>
      </w:r>
    </w:p>
    <w:p w14:paraId="0BFD9D1D" w14:textId="4F909A3E" w:rsidR="00D26F4A" w:rsidRDefault="00D26F4A">
      <w:pPr>
        <w:jc w:val="left"/>
      </w:pPr>
      <w:r>
        <w:br w:type="page"/>
      </w:r>
    </w:p>
    <w:p w14:paraId="2297E189" w14:textId="69F39602" w:rsidR="00813B96" w:rsidRPr="00CB5264" w:rsidRDefault="00813B96" w:rsidP="005F16E4">
      <w:pPr>
        <w:ind w:firstLine="720"/>
        <w:jc w:val="center"/>
        <w:rPr>
          <w:b/>
          <w:bCs/>
        </w:rPr>
      </w:pPr>
      <w:r w:rsidRPr="00CB5264">
        <w:rPr>
          <w:b/>
          <w:bCs/>
        </w:rPr>
        <w:lastRenderedPageBreak/>
        <w:t>Социални разходи и стипендии</w:t>
      </w:r>
    </w:p>
    <w:p w14:paraId="74E8472B" w14:textId="1EFF3ED7" w:rsidR="008540D7" w:rsidRDefault="00BE5B88" w:rsidP="00D26F4A">
      <w:pPr>
        <w:ind w:firstLine="720"/>
      </w:pPr>
      <w:r>
        <w:t>За 2025 са планирани социални разходи и стипендии в размер на 3,4 млрд.</w:t>
      </w:r>
      <w:r w:rsidR="00F74AC9">
        <w:t xml:space="preserve"> </w:t>
      </w:r>
      <w:r>
        <w:t>лв. Към 30 юни 2025 година са отчетени разходи в размер на 0,9 млрд.</w:t>
      </w:r>
      <w:r w:rsidR="00F74AC9">
        <w:t xml:space="preserve"> </w:t>
      </w:r>
      <w:r>
        <w:t>лв.</w:t>
      </w:r>
      <w:r w:rsidR="00B45047">
        <w:t xml:space="preserve"> или 25,3% от планираното, което </w:t>
      </w:r>
      <w:r w:rsidR="00BA4F7E">
        <w:t xml:space="preserve">статистически </w:t>
      </w:r>
      <w:r w:rsidR="00B45047">
        <w:t>съвпада със средното за предходните години.</w:t>
      </w:r>
    </w:p>
    <w:p w14:paraId="093B41C9" w14:textId="543A5757" w:rsidR="00E408EB" w:rsidRPr="00E73A7F" w:rsidRDefault="00E408EB" w:rsidP="00E408EB">
      <w:pPr>
        <w:ind w:firstLine="720"/>
        <w:jc w:val="right"/>
        <w:rPr>
          <w:i/>
        </w:rPr>
      </w:pPr>
      <w:r>
        <w:rPr>
          <w:i/>
        </w:rPr>
        <w:t>г</w:t>
      </w:r>
      <w:r w:rsidRPr="00E73A7F">
        <w:rPr>
          <w:i/>
        </w:rPr>
        <w:t>раф.</w:t>
      </w:r>
      <w:r>
        <w:rPr>
          <w:i/>
        </w:rPr>
        <w:t>8</w:t>
      </w:r>
    </w:p>
    <w:p w14:paraId="3E2655A6" w14:textId="2FC06494" w:rsidR="00BE5B88" w:rsidRDefault="00E408EB" w:rsidP="00D26F4A">
      <w:pPr>
        <w:ind w:firstLine="720"/>
      </w:pPr>
      <w:r>
        <w:rPr>
          <w:noProof/>
          <w:lang w:eastAsia="bg-BG"/>
        </w:rPr>
        <w:drawing>
          <wp:anchor distT="0" distB="0" distL="114300" distR="114300" simplePos="0" relativeHeight="251671552" behindDoc="0" locked="0" layoutInCell="1" allowOverlap="1" wp14:anchorId="3CDF8611" wp14:editId="2CBBBCCC">
            <wp:simplePos x="0" y="0"/>
            <wp:positionH relativeFrom="column">
              <wp:posOffset>1931670</wp:posOffset>
            </wp:positionH>
            <wp:positionV relativeFrom="paragraph">
              <wp:posOffset>52070</wp:posOffset>
            </wp:positionV>
            <wp:extent cx="3997960" cy="3225800"/>
            <wp:effectExtent l="0" t="0" r="2540" b="0"/>
            <wp:wrapSquare wrapText="bothSides"/>
            <wp:docPr id="10" name="Картин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322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B88">
        <w:t>Н</w:t>
      </w:r>
      <w:r w:rsidR="001738D4">
        <w:t xml:space="preserve">а база на историческите данни на изпълнението и на относителния им дял от БВП, може да се прогнозира, че изпълнението в края на годината ще бъде около </w:t>
      </w:r>
      <w:r w:rsidR="00FF7E56">
        <w:t xml:space="preserve">от </w:t>
      </w:r>
      <w:r w:rsidR="00451BB3">
        <w:t>2</w:t>
      </w:r>
      <w:r w:rsidR="00BA4F7E">
        <w:t xml:space="preserve"> до 2,4 млрд.</w:t>
      </w:r>
      <w:r w:rsidR="00F74AC9">
        <w:t xml:space="preserve"> </w:t>
      </w:r>
      <w:r w:rsidR="00BA4F7E">
        <w:t>лв</w:t>
      </w:r>
      <w:r w:rsidR="00FF7E56">
        <w:t>.</w:t>
      </w:r>
      <w:r w:rsidR="00D26F4A">
        <w:t xml:space="preserve"> или с около </w:t>
      </w:r>
      <w:r w:rsidR="00BA4F7E">
        <w:t>1-</w:t>
      </w:r>
      <w:r w:rsidR="00451BB3">
        <w:t>1,4</w:t>
      </w:r>
      <w:r w:rsidR="001738D4">
        <w:t xml:space="preserve"> млрд.</w:t>
      </w:r>
      <w:r w:rsidR="00F74AC9">
        <w:t xml:space="preserve"> </w:t>
      </w:r>
      <w:r w:rsidR="001738D4">
        <w:t>лв. по-малко</w:t>
      </w:r>
      <w:r w:rsidR="00BA4F7E">
        <w:t xml:space="preserve"> от закона, </w:t>
      </w:r>
      <w:r w:rsidR="00451BB3">
        <w:t>Статистически</w:t>
      </w:r>
      <w:r w:rsidR="00BA4F7E">
        <w:t xml:space="preserve"> е налице по-висок разход за второто полугодие, който обичайно е 2,2</w:t>
      </w:r>
      <w:r w:rsidR="00451BB3">
        <w:t xml:space="preserve"> </w:t>
      </w:r>
      <w:r w:rsidR="00BA4F7E">
        <w:t>-</w:t>
      </w:r>
      <w:r w:rsidR="00451BB3">
        <w:t xml:space="preserve"> </w:t>
      </w:r>
      <w:r w:rsidR="00BA4F7E">
        <w:t>3,</w:t>
      </w:r>
      <w:r w:rsidR="00651490">
        <w:t>4</w:t>
      </w:r>
      <w:r w:rsidR="00BA4F7E">
        <w:t xml:space="preserve"> пъти по-висок от първото полугодие.</w:t>
      </w:r>
    </w:p>
    <w:p w14:paraId="0F9E863D" w14:textId="38DA86EF" w:rsidR="00D26F4A" w:rsidRDefault="00DA2BBF" w:rsidP="00D26F4A">
      <w:pPr>
        <w:ind w:firstLine="720"/>
      </w:pPr>
      <w:r>
        <w:t xml:space="preserve">Налице е допълнителен резерв </w:t>
      </w:r>
      <w:r w:rsidR="00384E6D">
        <w:t>около 1 млрд.</w:t>
      </w:r>
      <w:r w:rsidR="00F74AC9">
        <w:t xml:space="preserve"> </w:t>
      </w:r>
      <w:r w:rsidR="00384E6D">
        <w:t xml:space="preserve">лв. </w:t>
      </w:r>
      <w:r>
        <w:t xml:space="preserve">в разходната част, при условие че няма забавени плащания </w:t>
      </w:r>
      <w:r w:rsidR="00384E6D">
        <w:t>от бюджета или необработени искания през първото полугодие</w:t>
      </w:r>
      <w:r>
        <w:t>.</w:t>
      </w:r>
    </w:p>
    <w:p w14:paraId="363F72F2" w14:textId="77777777" w:rsidR="00B900AD" w:rsidRDefault="00B900AD" w:rsidP="00D26F4A"/>
    <w:p w14:paraId="598667C3" w14:textId="55C05BAF" w:rsidR="00813B96" w:rsidRPr="00CB5264" w:rsidRDefault="002670C9" w:rsidP="005F16E4">
      <w:pPr>
        <w:ind w:firstLine="720"/>
        <w:jc w:val="center"/>
        <w:rPr>
          <w:b/>
          <w:bCs/>
        </w:rPr>
      </w:pPr>
      <w:r w:rsidRPr="00CB5264">
        <w:rPr>
          <w:b/>
          <w:bCs/>
        </w:rPr>
        <w:t>Субсидии</w:t>
      </w:r>
    </w:p>
    <w:p w14:paraId="03C23ECC" w14:textId="00D5C39C" w:rsidR="006648E7" w:rsidRDefault="006648E7" w:rsidP="003E71C0">
      <w:pPr>
        <w:ind w:firstLine="720"/>
      </w:pPr>
      <w:r>
        <w:t>По закон за 2025 година се предвиждат разходи за субсидии в размер на 2,1 млрд.</w:t>
      </w:r>
      <w:r w:rsidR="00F74AC9">
        <w:t xml:space="preserve"> </w:t>
      </w:r>
      <w:r>
        <w:t>лв. Към 30 юни са отчетени разходи в размер на 867 млн.</w:t>
      </w:r>
      <w:r w:rsidR="00F74AC9">
        <w:t xml:space="preserve"> </w:t>
      </w:r>
      <w:r>
        <w:t>лв.</w:t>
      </w:r>
      <w:r w:rsidR="00F74AC9">
        <w:t>,</w:t>
      </w:r>
      <w:r>
        <w:t xml:space="preserve"> които са </w:t>
      </w:r>
      <w:r w:rsidR="007E03C2">
        <w:t>40,5% от плана и са 0,4</w:t>
      </w:r>
      <w:r w:rsidR="004B6EA5">
        <w:rPr>
          <w:lang w:val="en-US"/>
        </w:rPr>
        <w:t>%</w:t>
      </w:r>
      <w:r w:rsidR="002C5C57">
        <w:t xml:space="preserve"> от БВП.</w:t>
      </w:r>
    </w:p>
    <w:p w14:paraId="66CB7537" w14:textId="2AFD9CE4" w:rsidR="00B9523B" w:rsidRDefault="00B9523B" w:rsidP="003E71C0">
      <w:pPr>
        <w:ind w:firstLine="720"/>
      </w:pPr>
      <w:r>
        <w:t>Исторически разходите за субсидии се движат в диапазона от 0,8% до 1,2% от БВП</w:t>
      </w:r>
      <w:r w:rsidR="005B609F">
        <w:t xml:space="preserve"> на годишна база</w:t>
      </w:r>
      <w:r>
        <w:t xml:space="preserve">, като през второто полугодие те са </w:t>
      </w:r>
      <w:r w:rsidR="00FA2F75">
        <w:t>о</w:t>
      </w:r>
      <w:r w:rsidR="007651C5">
        <w:t xml:space="preserve">бикновено </w:t>
      </w:r>
      <w:r w:rsidR="005B609F">
        <w:t xml:space="preserve">приблизително същите. Изключение е </w:t>
      </w:r>
      <w:r w:rsidR="007651C5">
        <w:t xml:space="preserve">2022 година, </w:t>
      </w:r>
      <w:r w:rsidR="00134B3C">
        <w:t>към края на която</w:t>
      </w:r>
      <w:r w:rsidR="007651C5">
        <w:t xml:space="preserve"> те нарастват тройно</w:t>
      </w:r>
      <w:r w:rsidR="00134B3C">
        <w:t xml:space="preserve"> на годишна база</w:t>
      </w:r>
      <w:r w:rsidR="005E7883">
        <w:t>, спрямо първите шест месеца на годината</w:t>
      </w:r>
      <w:r w:rsidR="007651C5">
        <w:t>.</w:t>
      </w:r>
    </w:p>
    <w:p w14:paraId="402B4368" w14:textId="4876D667" w:rsidR="00CB5264" w:rsidRDefault="00D8485E" w:rsidP="003E71C0">
      <w:pPr>
        <w:ind w:firstLine="720"/>
      </w:pPr>
      <w:r>
        <w:t xml:space="preserve">При субсидиите </w:t>
      </w:r>
      <w:r w:rsidR="007651C5">
        <w:t>съще</w:t>
      </w:r>
      <w:r w:rsidR="00302B34">
        <w:t xml:space="preserve">ствува </w:t>
      </w:r>
      <w:r w:rsidR="008F1AC7">
        <w:t xml:space="preserve">теоретична </w:t>
      </w:r>
      <w:r w:rsidR="00302B34">
        <w:t>вероя</w:t>
      </w:r>
      <w:r w:rsidR="007651C5">
        <w:t xml:space="preserve">тност от </w:t>
      </w:r>
      <w:r>
        <w:t>преразход</w:t>
      </w:r>
      <w:r w:rsidR="00CF514D">
        <w:t xml:space="preserve"> до 0,4 млрд.</w:t>
      </w:r>
      <w:r w:rsidR="00F74AC9">
        <w:t xml:space="preserve"> </w:t>
      </w:r>
      <w:r w:rsidR="00CF514D">
        <w:t>лв.</w:t>
      </w:r>
      <w:r>
        <w:t xml:space="preserve">, поради </w:t>
      </w:r>
      <w:r w:rsidR="00BC58CE">
        <w:t xml:space="preserve">това, </w:t>
      </w:r>
      <w:r w:rsidR="00CF514D">
        <w:t xml:space="preserve">че за 2022 са отчетени разходи </w:t>
      </w:r>
      <w:r w:rsidR="00F94E02">
        <w:t xml:space="preserve">в размер на </w:t>
      </w:r>
      <w:r w:rsidR="00CF514D">
        <w:t>2,6 млрд.</w:t>
      </w:r>
      <w:r w:rsidR="00F74AC9">
        <w:t xml:space="preserve"> </w:t>
      </w:r>
      <w:r w:rsidR="00CF514D">
        <w:t xml:space="preserve">лв., за 2023 година </w:t>
      </w:r>
      <w:r w:rsidR="00F94E02">
        <w:t>–</w:t>
      </w:r>
      <w:r w:rsidR="00CF514D">
        <w:t xml:space="preserve"> </w:t>
      </w:r>
      <w:r w:rsidR="00F94E02">
        <w:t>1,5 млрд.</w:t>
      </w:r>
      <w:r w:rsidR="00F74AC9">
        <w:t xml:space="preserve"> </w:t>
      </w:r>
      <w:r w:rsidR="00F94E02">
        <w:t>лв., за 2024 година – 2,4 млрд. лв.</w:t>
      </w:r>
    </w:p>
    <w:p w14:paraId="01E6C7B8" w14:textId="5C98AE16" w:rsidR="002670C9" w:rsidRPr="00CB5264" w:rsidRDefault="00B900AD" w:rsidP="00220DC2">
      <w:pPr>
        <w:jc w:val="center"/>
        <w:rPr>
          <w:b/>
          <w:bCs/>
        </w:rPr>
      </w:pPr>
      <w:r>
        <w:br w:type="page"/>
      </w:r>
      <w:r w:rsidR="002670C9" w:rsidRPr="00CB5264">
        <w:rPr>
          <w:b/>
          <w:bCs/>
        </w:rPr>
        <w:lastRenderedPageBreak/>
        <w:t>Капиталови разходи</w:t>
      </w:r>
    </w:p>
    <w:p w14:paraId="7EBD3846" w14:textId="7534017A" w:rsidR="00CB5264" w:rsidRDefault="00DC33E5" w:rsidP="003E71C0">
      <w:pPr>
        <w:ind w:firstLine="720"/>
      </w:pPr>
      <w:r>
        <w:t>За 2025 година капиталовите разходи са 5,4 млрд.</w:t>
      </w:r>
      <w:r w:rsidR="00F74AC9">
        <w:t xml:space="preserve"> </w:t>
      </w:r>
      <w:proofErr w:type="spellStart"/>
      <w:r>
        <w:t>лв</w:t>
      </w:r>
      <w:proofErr w:type="spellEnd"/>
      <w:r>
        <w:t>, като към 30 юни са усвоени 1,8 млрд.</w:t>
      </w:r>
      <w:r w:rsidR="00F74AC9">
        <w:t xml:space="preserve"> </w:t>
      </w:r>
      <w:r>
        <w:t>лв., което е 33,4% от годишния план. Това е най</w:t>
      </w:r>
      <w:r w:rsidR="009F26E1">
        <w:t>-</w:t>
      </w:r>
      <w:r>
        <w:t xml:space="preserve">високият процент на усвояемост за последните години към полугодието. За сравнение </w:t>
      </w:r>
      <w:r w:rsidR="00B42B7D">
        <w:t xml:space="preserve">към 30 юни </w:t>
      </w:r>
      <w:r>
        <w:t xml:space="preserve">за 2022 са усвоени 11,1%, за 2023 година – 14,7%, за 2024 г. </w:t>
      </w:r>
      <w:r w:rsidR="000D7496">
        <w:t>–</w:t>
      </w:r>
      <w:r>
        <w:t xml:space="preserve"> </w:t>
      </w:r>
      <w:r w:rsidR="00B42B7D">
        <w:t>6,6%, спрямо годишния разчет.</w:t>
      </w:r>
    </w:p>
    <w:p w14:paraId="3C7F0DBC" w14:textId="100C29D2" w:rsidR="00E408EB" w:rsidRPr="00E73A7F" w:rsidRDefault="00E408EB" w:rsidP="00E408EB">
      <w:pPr>
        <w:ind w:firstLine="720"/>
        <w:jc w:val="right"/>
        <w:rPr>
          <w:i/>
        </w:rPr>
      </w:pPr>
      <w:r>
        <w:rPr>
          <w:i/>
        </w:rPr>
        <w:t>г</w:t>
      </w:r>
      <w:r w:rsidRPr="00E73A7F">
        <w:rPr>
          <w:i/>
        </w:rPr>
        <w:t>раф.</w:t>
      </w:r>
      <w:r>
        <w:rPr>
          <w:i/>
        </w:rPr>
        <w:t>9</w:t>
      </w:r>
    </w:p>
    <w:p w14:paraId="7D0C984C" w14:textId="0863B54B" w:rsidR="000D7496" w:rsidRDefault="00E408EB" w:rsidP="003E71C0">
      <w:pPr>
        <w:ind w:firstLine="720"/>
      </w:pPr>
      <w:r>
        <w:rPr>
          <w:noProof/>
          <w:lang w:eastAsia="bg-BG"/>
        </w:rPr>
        <w:drawing>
          <wp:anchor distT="0" distB="0" distL="114300" distR="114300" simplePos="0" relativeHeight="251672576" behindDoc="0" locked="0" layoutInCell="1" allowOverlap="1" wp14:anchorId="4A80F3AD" wp14:editId="05AF2F71">
            <wp:simplePos x="0" y="0"/>
            <wp:positionH relativeFrom="column">
              <wp:posOffset>1828800</wp:posOffset>
            </wp:positionH>
            <wp:positionV relativeFrom="paragraph">
              <wp:posOffset>109855</wp:posOffset>
            </wp:positionV>
            <wp:extent cx="4063365" cy="3267710"/>
            <wp:effectExtent l="0" t="0" r="0" b="8890"/>
            <wp:wrapSquare wrapText="bothSides"/>
            <wp:docPr id="11" name="Картин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365" cy="326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496">
        <w:t xml:space="preserve">Високата усвояемост </w:t>
      </w:r>
      <w:r w:rsidR="009F26E1">
        <w:t xml:space="preserve"> през 2025 година </w:t>
      </w:r>
      <w:r w:rsidR="000D7496">
        <w:t xml:space="preserve">търпи обяснения, които допускат хипотези </w:t>
      </w:r>
      <w:r w:rsidR="009F26E1">
        <w:t xml:space="preserve">като </w:t>
      </w:r>
      <w:r w:rsidR="000D7496">
        <w:t>– забавени плащания от предходни години, авансови</w:t>
      </w:r>
      <w:r w:rsidR="009F26E1">
        <w:t xml:space="preserve"> плащания през текущата и други.</w:t>
      </w:r>
    </w:p>
    <w:p w14:paraId="31176CF8" w14:textId="59208821" w:rsidR="009F26E1" w:rsidRDefault="00DA4E28" w:rsidP="003E71C0">
      <w:pPr>
        <w:ind w:firstLine="720"/>
      </w:pPr>
      <w:r>
        <w:t>На база на отчета към полугодието може да се допусне както изпълнение, така и неизпълнение в зависимост от причините за тези плащания.</w:t>
      </w:r>
    </w:p>
    <w:p w14:paraId="4447B3C5" w14:textId="6729A958" w:rsidR="00C26375" w:rsidRDefault="00A50081" w:rsidP="003E71C0">
      <w:pPr>
        <w:ind w:firstLine="720"/>
      </w:pPr>
      <w:r>
        <w:t xml:space="preserve">Следвайки историческите данни може да се допусне, че е налице резерв в капиталовите разходи за 2025 година в размер </w:t>
      </w:r>
      <w:r w:rsidR="0030194C">
        <w:t>до</w:t>
      </w:r>
      <w:r>
        <w:t xml:space="preserve"> 2,2 млрд.</w:t>
      </w:r>
      <w:r w:rsidR="00F74AC9">
        <w:t xml:space="preserve"> </w:t>
      </w:r>
      <w:r>
        <w:t>лв., базиран на дела на тези разходи спрямо БВП</w:t>
      </w:r>
      <w:r w:rsidR="000F5F3D">
        <w:t>, възможностите за усвояемост</w:t>
      </w:r>
      <w:r w:rsidR="00A65363">
        <w:t xml:space="preserve">, готовност за нови проекти и одобряването им, </w:t>
      </w:r>
      <w:r w:rsidR="00244353">
        <w:t xml:space="preserve">отчитането и приемането на етапи </w:t>
      </w:r>
      <w:r w:rsidR="000F5F3D">
        <w:t>и процента на неизпълнение на проекти</w:t>
      </w:r>
      <w:r>
        <w:t>.</w:t>
      </w:r>
    </w:p>
    <w:p w14:paraId="3C2D18BE" w14:textId="39F39A7A" w:rsidR="00A50081" w:rsidRDefault="00960D99" w:rsidP="003E71C0">
      <w:pPr>
        <w:ind w:firstLine="720"/>
      </w:pPr>
      <w:r>
        <w:t>В обратния случай</w:t>
      </w:r>
      <w:r w:rsidR="007E05EF">
        <w:t>,</w:t>
      </w:r>
      <w:r w:rsidR="006C72C0">
        <w:t xml:space="preserve"> с по-малка вероятност е хипотезата да </w:t>
      </w:r>
      <w:r>
        <w:t xml:space="preserve">се прогнозира </w:t>
      </w:r>
      <w:r w:rsidR="006C72C0">
        <w:t xml:space="preserve">100% </w:t>
      </w:r>
      <w:r>
        <w:t>изпълнение на база вече осъществени плащания</w:t>
      </w:r>
      <w:r w:rsidR="006C72C0">
        <w:t xml:space="preserve"> към шестте месеца на годината.</w:t>
      </w:r>
    </w:p>
    <w:p w14:paraId="2A645183" w14:textId="445270E8" w:rsidR="00302B34" w:rsidRDefault="00960D99" w:rsidP="00E408EB">
      <w:pPr>
        <w:ind w:firstLine="720"/>
      </w:pPr>
      <w:r>
        <w:t>Предвид</w:t>
      </w:r>
      <w:r w:rsidR="00F74AC9">
        <w:t>,</w:t>
      </w:r>
      <w:r>
        <w:t xml:space="preserve"> че </w:t>
      </w:r>
      <w:r w:rsidR="006C72C0">
        <w:t xml:space="preserve">обществеността </w:t>
      </w:r>
      <w:r>
        <w:t>не  разполага с допълнителна информация относно характера и вида на осъществените плащания до 30 юни 2025 година, както и свръх ниските разходи за 2024 година (</w:t>
      </w:r>
      <w:r w:rsidR="00C23B6A">
        <w:t xml:space="preserve">вероятно </w:t>
      </w:r>
      <w:r>
        <w:t xml:space="preserve">неразплатени дейности от 2024 г., прехвърлени за разходи през 2025 година) </w:t>
      </w:r>
      <w:r w:rsidR="006C72C0">
        <w:t xml:space="preserve">обосновано се </w:t>
      </w:r>
      <w:r w:rsidR="00C23B6A">
        <w:t xml:space="preserve">допуска, че </w:t>
      </w:r>
      <w:r>
        <w:t xml:space="preserve">отново ще има </w:t>
      </w:r>
      <w:r w:rsidR="00E14EFD">
        <w:t>неусвоен ресурс</w:t>
      </w:r>
      <w:r w:rsidR="00F05E8B">
        <w:t>.</w:t>
      </w:r>
    </w:p>
    <w:p w14:paraId="6597CDD4" w14:textId="0BC0238C" w:rsidR="00302B34" w:rsidRDefault="00302B34">
      <w:pPr>
        <w:jc w:val="left"/>
      </w:pPr>
      <w:r>
        <w:br w:type="page"/>
      </w:r>
    </w:p>
    <w:p w14:paraId="5D3DD58F" w14:textId="3E9F5FC7" w:rsidR="006F7078" w:rsidRDefault="002670C9" w:rsidP="005F16E4">
      <w:pPr>
        <w:ind w:firstLine="720"/>
        <w:jc w:val="center"/>
      </w:pPr>
      <w:r w:rsidRPr="00CB5264">
        <w:rPr>
          <w:b/>
          <w:bCs/>
        </w:rPr>
        <w:lastRenderedPageBreak/>
        <w:t>Трансфери към</w:t>
      </w:r>
      <w:r w:rsidR="00950912">
        <w:rPr>
          <w:b/>
          <w:bCs/>
        </w:rPr>
        <w:t>:</w:t>
      </w:r>
    </w:p>
    <w:p w14:paraId="53D00458" w14:textId="4535E888" w:rsidR="002670C9" w:rsidRPr="005F16E4" w:rsidRDefault="00CF4079" w:rsidP="00CB5264">
      <w:pPr>
        <w:pStyle w:val="ListParagraph"/>
        <w:numPr>
          <w:ilvl w:val="0"/>
          <w:numId w:val="2"/>
        </w:numPr>
        <w:rPr>
          <w:b/>
        </w:rPr>
      </w:pPr>
      <w:r w:rsidRPr="005F16E4">
        <w:rPr>
          <w:b/>
        </w:rPr>
        <w:t>Общини</w:t>
      </w:r>
    </w:p>
    <w:p w14:paraId="6910C879" w14:textId="752D9D06" w:rsidR="00CB5264" w:rsidRDefault="00E60853" w:rsidP="00E60853">
      <w:pPr>
        <w:ind w:firstLine="720"/>
      </w:pPr>
      <w:r>
        <w:t>Трансферът към общините за 2025 г. е планиран в размер на 8,9 млрд.</w:t>
      </w:r>
      <w:r w:rsidR="00F74AC9">
        <w:t xml:space="preserve"> </w:t>
      </w:r>
      <w:r>
        <w:t>лв. За сравнение през предходните години сумата по отчет е била 7,8 млрд.</w:t>
      </w:r>
      <w:r w:rsidR="00F74AC9">
        <w:t xml:space="preserve"> </w:t>
      </w:r>
      <w:r>
        <w:t>лв. за 2022 година, за 2023 г. – 9,4 млрд.</w:t>
      </w:r>
      <w:r w:rsidR="00F74AC9">
        <w:t xml:space="preserve"> </w:t>
      </w:r>
      <w:r>
        <w:t>лв., за 2024 година – 10,8 млрд.</w:t>
      </w:r>
      <w:r w:rsidR="00F74AC9">
        <w:t xml:space="preserve"> </w:t>
      </w:r>
      <w:r>
        <w:t>лв.</w:t>
      </w:r>
    </w:p>
    <w:p w14:paraId="4F28367D" w14:textId="1ECCDE47" w:rsidR="00E408EB" w:rsidRPr="00E73A7F" w:rsidRDefault="006661E3" w:rsidP="00E408EB">
      <w:pPr>
        <w:ind w:firstLine="720"/>
        <w:jc w:val="right"/>
        <w:rPr>
          <w:i/>
        </w:rPr>
      </w:pPr>
      <w:r>
        <w:rPr>
          <w:noProof/>
          <w:lang w:eastAsia="bg-BG"/>
        </w:rPr>
        <w:drawing>
          <wp:anchor distT="0" distB="0" distL="114300" distR="114300" simplePos="0" relativeHeight="251673600" behindDoc="0" locked="0" layoutInCell="1" allowOverlap="1" wp14:anchorId="76828A6B" wp14:editId="5379E0BA">
            <wp:simplePos x="0" y="0"/>
            <wp:positionH relativeFrom="column">
              <wp:posOffset>1565275</wp:posOffset>
            </wp:positionH>
            <wp:positionV relativeFrom="paragraph">
              <wp:posOffset>196850</wp:posOffset>
            </wp:positionV>
            <wp:extent cx="4426585" cy="3561715"/>
            <wp:effectExtent l="0" t="0" r="0" b="635"/>
            <wp:wrapSquare wrapText="bothSides"/>
            <wp:docPr id="12" name="Картин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585" cy="356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8EB">
        <w:rPr>
          <w:i/>
        </w:rPr>
        <w:t>г</w:t>
      </w:r>
      <w:r w:rsidR="00E408EB" w:rsidRPr="00E73A7F">
        <w:rPr>
          <w:i/>
        </w:rPr>
        <w:t>раф.</w:t>
      </w:r>
      <w:r w:rsidR="00E408EB">
        <w:rPr>
          <w:i/>
        </w:rPr>
        <w:t>10</w:t>
      </w:r>
    </w:p>
    <w:p w14:paraId="552C9116" w14:textId="2A872CC2" w:rsidR="006F7078" w:rsidRDefault="00D927DE" w:rsidP="00D927DE">
      <w:pPr>
        <w:ind w:firstLine="709"/>
      </w:pPr>
      <w:r>
        <w:t>За 2025 година е по-малък дори спрямо</w:t>
      </w:r>
      <w:r w:rsidR="00722601">
        <w:t xml:space="preserve"> 2023 г.</w:t>
      </w:r>
      <w:r w:rsidR="006661E3">
        <w:t>,</w:t>
      </w:r>
      <w:r w:rsidR="00722601">
        <w:t xml:space="preserve"> </w:t>
      </w:r>
      <w:r w:rsidR="00E332CD">
        <w:t>въпреки</w:t>
      </w:r>
      <w:r w:rsidR="00722601">
        <w:t xml:space="preserve"> </w:t>
      </w:r>
      <w:r w:rsidR="00E332CD">
        <w:t>увеличението на разходите</w:t>
      </w:r>
      <w:r w:rsidR="00B0653E">
        <w:t xml:space="preserve"> им</w:t>
      </w:r>
      <w:r w:rsidR="00E332CD">
        <w:t xml:space="preserve"> и възнагражденията.</w:t>
      </w:r>
    </w:p>
    <w:p w14:paraId="4738054B" w14:textId="08638AB4" w:rsidR="00E332CD" w:rsidRDefault="00E332CD" w:rsidP="00D927DE">
      <w:pPr>
        <w:ind w:firstLine="709"/>
      </w:pPr>
      <w:r>
        <w:t xml:space="preserve">Допуска се, че при подобен таван на разхода за трансфери общините ще натрупат допълнителен дълг или ще трябва да </w:t>
      </w:r>
      <w:r w:rsidR="00BF71D1">
        <w:t xml:space="preserve">съкращават разходи, например от капиталовите си програми или ще е за сметка на изпълнението на проекти. Този ефект </w:t>
      </w:r>
      <w:r w:rsidR="00FF7D32">
        <w:t xml:space="preserve">вероятно </w:t>
      </w:r>
      <w:r w:rsidR="00BF71D1">
        <w:t xml:space="preserve">ще се пренесе и върху доставчиците на стоки и услуги, които ще трупат вземания, </w:t>
      </w:r>
      <w:r w:rsidR="00FF7D32">
        <w:t xml:space="preserve">а общините ще имат допълнителни </w:t>
      </w:r>
      <w:r w:rsidR="00E40EA5">
        <w:t xml:space="preserve">бъдещи </w:t>
      </w:r>
      <w:r w:rsidR="00FF7D32">
        <w:t>разходи за лихви и неустойки по сключени и изпълнени договори.</w:t>
      </w:r>
    </w:p>
    <w:p w14:paraId="070D992A" w14:textId="23F3BB0C" w:rsidR="004F5F20" w:rsidRDefault="004F5F20" w:rsidP="00D927DE">
      <w:pPr>
        <w:ind w:firstLine="709"/>
      </w:pPr>
      <w:r>
        <w:t>Това може да се окаже поредното бюджетно перо, което ще натовари допълнително с разходи бюджета за 2026 година, ако се прехвърлят част от плащанията.</w:t>
      </w:r>
    </w:p>
    <w:p w14:paraId="5FF653A8" w14:textId="71EDE018" w:rsidR="00FF7D32" w:rsidRDefault="004F5F20" w:rsidP="00D927DE">
      <w:pPr>
        <w:ind w:firstLine="709"/>
      </w:pPr>
      <w:r>
        <w:t xml:space="preserve">На базата на отчетните данни за предходните години може да се допусне, че </w:t>
      </w:r>
      <w:r w:rsidR="00386F0F">
        <w:t>очакваното изпълнение към края на годината би трябвало да бъде около 11 млрд.</w:t>
      </w:r>
      <w:r w:rsidR="00F74AC9">
        <w:t xml:space="preserve"> </w:t>
      </w:r>
      <w:r w:rsidR="00386F0F">
        <w:t>лв.</w:t>
      </w:r>
    </w:p>
    <w:p w14:paraId="21987B71" w14:textId="452B2CB9" w:rsidR="00386F0F" w:rsidRDefault="00386F0F">
      <w:pPr>
        <w:jc w:val="left"/>
      </w:pPr>
      <w:r>
        <w:br w:type="page"/>
      </w:r>
    </w:p>
    <w:p w14:paraId="314102BC" w14:textId="3F6CD082" w:rsidR="00CF4079" w:rsidRPr="005F16E4" w:rsidRDefault="00CF4079" w:rsidP="00CB5264">
      <w:pPr>
        <w:pStyle w:val="ListParagraph"/>
        <w:numPr>
          <w:ilvl w:val="0"/>
          <w:numId w:val="2"/>
        </w:numPr>
        <w:rPr>
          <w:b/>
        </w:rPr>
      </w:pPr>
      <w:r w:rsidRPr="005F16E4">
        <w:rPr>
          <w:b/>
        </w:rPr>
        <w:lastRenderedPageBreak/>
        <w:t>Социално-осигурителни фондове</w:t>
      </w:r>
    </w:p>
    <w:p w14:paraId="6A541EBF" w14:textId="558C4686" w:rsidR="00797062" w:rsidRDefault="00871428" w:rsidP="00CF4079">
      <w:pPr>
        <w:ind w:firstLine="720"/>
      </w:pPr>
      <w:r>
        <w:t>Планираните разходи за 2025 година към социално-осигурителните фондове (НОИ и НЗОК) са 15,8 млрд.</w:t>
      </w:r>
      <w:r w:rsidR="00F74AC9">
        <w:t xml:space="preserve"> </w:t>
      </w:r>
      <w:r>
        <w:t xml:space="preserve">лв., като </w:t>
      </w:r>
      <w:r w:rsidR="00A82D5C">
        <w:t xml:space="preserve">по отчет </w:t>
      </w:r>
      <w:r>
        <w:t>за 2022 година са били 10,6 млрд.</w:t>
      </w:r>
      <w:r w:rsidR="00F74AC9">
        <w:t xml:space="preserve"> </w:t>
      </w:r>
      <w:r>
        <w:t xml:space="preserve">лв., за 2023 г. </w:t>
      </w:r>
      <w:r w:rsidR="00A82D5C">
        <w:t>–</w:t>
      </w:r>
      <w:r>
        <w:t xml:space="preserve"> </w:t>
      </w:r>
      <w:r w:rsidR="00A82D5C">
        <w:t>13,0 млрд.</w:t>
      </w:r>
      <w:r w:rsidR="00F74AC9">
        <w:t xml:space="preserve"> </w:t>
      </w:r>
      <w:proofErr w:type="spellStart"/>
      <w:r w:rsidR="00A82D5C">
        <w:t>лв</w:t>
      </w:r>
      <w:proofErr w:type="spellEnd"/>
      <w:r w:rsidR="00A82D5C">
        <w:t>, за 2024 г. – 14,8 млрд.</w:t>
      </w:r>
      <w:r w:rsidR="00F74AC9">
        <w:t xml:space="preserve"> </w:t>
      </w:r>
      <w:r w:rsidR="00A82D5C">
        <w:t>лв.</w:t>
      </w:r>
    </w:p>
    <w:p w14:paraId="40E3264D" w14:textId="56FCF2D6" w:rsidR="00FB6D05" w:rsidRPr="00FB6D05" w:rsidRDefault="007116AF" w:rsidP="00FB6D05">
      <w:pPr>
        <w:ind w:firstLine="720"/>
        <w:jc w:val="right"/>
        <w:rPr>
          <w:i/>
          <w:noProof/>
          <w:lang w:eastAsia="bg-BG"/>
        </w:rPr>
      </w:pPr>
      <w:r>
        <w:rPr>
          <w:noProof/>
          <w:lang w:eastAsia="bg-BG"/>
        </w:rPr>
        <w:drawing>
          <wp:anchor distT="0" distB="0" distL="114300" distR="114300" simplePos="0" relativeHeight="251684864" behindDoc="0" locked="0" layoutInCell="1" allowOverlap="1" wp14:anchorId="5969B0CA" wp14:editId="24E2B87E">
            <wp:simplePos x="0" y="0"/>
            <wp:positionH relativeFrom="column">
              <wp:posOffset>123190</wp:posOffset>
            </wp:positionH>
            <wp:positionV relativeFrom="paragraph">
              <wp:posOffset>476885</wp:posOffset>
            </wp:positionV>
            <wp:extent cx="5826125" cy="4704715"/>
            <wp:effectExtent l="0" t="0" r="3175" b="635"/>
            <wp:wrapSquare wrapText="bothSides"/>
            <wp:docPr id="26" name="Картина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5" cy="4704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D05" w:rsidRPr="00FB6D05">
        <w:rPr>
          <w:i/>
          <w:noProof/>
          <w:lang w:eastAsia="bg-BG"/>
        </w:rPr>
        <w:t>граф.</w:t>
      </w:r>
      <w:r w:rsidR="00E408EB">
        <w:rPr>
          <w:i/>
          <w:noProof/>
          <w:lang w:eastAsia="bg-BG"/>
        </w:rPr>
        <w:t xml:space="preserve"> 11</w:t>
      </w:r>
    </w:p>
    <w:p w14:paraId="161A3414" w14:textId="77777777" w:rsidR="00FB6D05" w:rsidRDefault="00FB6D05" w:rsidP="00CF4079">
      <w:pPr>
        <w:ind w:firstLine="720"/>
      </w:pPr>
    </w:p>
    <w:p w14:paraId="620DCABF" w14:textId="54B34372" w:rsidR="00A82D5C" w:rsidRDefault="000C5361" w:rsidP="00CF4079">
      <w:pPr>
        <w:ind w:firstLine="720"/>
      </w:pPr>
      <w:r>
        <w:t xml:space="preserve">Трансферът расте ежегодно в абсолютна сума и като дял от БВП. Причините са няколко. Демографията, заетостта, излизането от системата на хора с ниски пенсии и влизащите в системата </w:t>
      </w:r>
      <w:r w:rsidR="008829C2">
        <w:t xml:space="preserve">с по-високи, ръст на </w:t>
      </w:r>
      <w:r w:rsidR="006914CE">
        <w:t>осигурителните обезщетения и др.</w:t>
      </w:r>
    </w:p>
    <w:p w14:paraId="29C82B3A" w14:textId="017A6165" w:rsidR="005357F2" w:rsidRDefault="005357F2" w:rsidP="00CF4079">
      <w:pPr>
        <w:ind w:firstLine="720"/>
      </w:pPr>
      <w:r>
        <w:t xml:space="preserve">Предвид точните сметки и прогнози, извършвани в НОИ и НЗОК, то отклонението спрямо плана няма да е значително, но може да доведе до допълнителен разход от </w:t>
      </w:r>
      <w:r w:rsidR="00072A99">
        <w:t>0,5 млрд.</w:t>
      </w:r>
      <w:r w:rsidR="00F74AC9">
        <w:t xml:space="preserve"> </w:t>
      </w:r>
      <w:r w:rsidR="00072A99">
        <w:t>лв.</w:t>
      </w:r>
    </w:p>
    <w:p w14:paraId="2A2C525B" w14:textId="77777777" w:rsidR="00FF7FF4" w:rsidRDefault="00664678" w:rsidP="00CF4079">
      <w:pPr>
        <w:ind w:firstLine="720"/>
      </w:pPr>
      <w:r>
        <w:t>Основните</w:t>
      </w:r>
      <w:r w:rsidR="00FB3B27">
        <w:t xml:space="preserve"> причини </w:t>
      </w:r>
      <w:r w:rsidR="00072A99">
        <w:t xml:space="preserve">за тенденцията за увеличаване на дефицита в осигурителните системи </w:t>
      </w:r>
      <w:r w:rsidR="00FB3B27">
        <w:t xml:space="preserve">са две. </w:t>
      </w:r>
    </w:p>
    <w:p w14:paraId="602308FB" w14:textId="01603478" w:rsidR="006914CE" w:rsidRDefault="00FB3B27" w:rsidP="00CF4079">
      <w:pPr>
        <w:ind w:firstLine="720"/>
      </w:pPr>
      <w:r>
        <w:lastRenderedPageBreak/>
        <w:t xml:space="preserve">Първата </w:t>
      </w:r>
      <w:r w:rsidR="006914CE">
        <w:t xml:space="preserve">е ниският таван на осигурителния доход. </w:t>
      </w:r>
      <w:r w:rsidR="00053FB5">
        <w:t xml:space="preserve">До 2000 година не е имало таван на осигурителния доход. </w:t>
      </w:r>
      <w:r w:rsidR="00B13036">
        <w:t xml:space="preserve">През </w:t>
      </w:r>
      <w:r w:rsidR="00C50C8E">
        <w:t>2001 и 2002 година максималният осигурителен доход е десеткратния размер на минималния осигурителен доход. От 2003 година до сега максималният осигурителен доход се намалява, като през 2024 година е 4 пъти минималния осигурителен доход.</w:t>
      </w:r>
    </w:p>
    <w:p w14:paraId="7D5FD538" w14:textId="32E14F12" w:rsidR="00C26375" w:rsidRDefault="00B13036" w:rsidP="00CF4079">
      <w:pPr>
        <w:ind w:firstLine="720"/>
        <w:rPr>
          <w:lang w:val="en-US"/>
        </w:rPr>
      </w:pPr>
      <w:r>
        <w:t xml:space="preserve">Втората основна причина е размерът на осигурителните вноски, като все по-голяма тежест се прехвърля от работодател към работник. </w:t>
      </w:r>
      <w:r w:rsidR="00F13A9A">
        <w:t>През 19</w:t>
      </w:r>
      <w:r w:rsidR="00055030">
        <w:t xml:space="preserve">98 </w:t>
      </w:r>
      <w:r w:rsidR="00F13A9A">
        <w:t xml:space="preserve"> </w:t>
      </w:r>
      <w:r w:rsidR="00055030">
        <w:t xml:space="preserve">година </w:t>
      </w:r>
      <w:r w:rsidR="00F13A9A">
        <w:t xml:space="preserve">(трета категория труд) </w:t>
      </w:r>
      <w:r w:rsidR="00055030">
        <w:t xml:space="preserve">общата ставка за осигурителните вноски към НОИ е била 39%, като тежестта за работещия от общата ставка е била 5,13%. През 1999 година </w:t>
      </w:r>
      <w:r w:rsidR="00F13A9A">
        <w:t>осигурителната ставка за вноските към НОИ</w:t>
      </w:r>
      <w:r w:rsidR="006514A1">
        <w:t xml:space="preserve"> е 35,7%, въвежда се и здравноосигурителна вноска в размер на 6%. Тежестта за работещите е 2,8% от осигурителната вноска към НОИ и 20% от здравноосигурителната вноска. След 2000 година започва намаляване на </w:t>
      </w:r>
      <w:r w:rsidR="00D84E13">
        <w:t>ставките за осигурителните вноски към НОИ и постепенно увеличаване на тежестта към работещите и намаляване на тежестта на работод</w:t>
      </w:r>
      <w:r w:rsidR="00AB1DD8">
        <w:t xml:space="preserve">ателите, като  </w:t>
      </w:r>
      <w:r w:rsidR="00D84E13">
        <w:t xml:space="preserve">2024 година осигурителните вноски към НОИ са </w:t>
      </w:r>
      <w:r w:rsidR="007E4C13">
        <w:t>вече 24,3%, от които от заплатата на работника се начисляват 43,54% или ефективно – 10,58</w:t>
      </w:r>
      <w:r w:rsidR="00AB1DD8">
        <w:t>%</w:t>
      </w:r>
      <w:r w:rsidR="007E4C13">
        <w:t xml:space="preserve">. През 2009 година здравно-осигурителната вноска е повишена на 8%, като работещия поема 40% от ставката </w:t>
      </w:r>
      <w:r w:rsidR="009A78AF">
        <w:t>или 3,2% ефективно върху брутната заплата.</w:t>
      </w:r>
    </w:p>
    <w:p w14:paraId="6E5F79EA" w14:textId="7870824E" w:rsidR="009058CF" w:rsidRPr="009058CF" w:rsidRDefault="009058CF" w:rsidP="00CF4079">
      <w:pPr>
        <w:ind w:firstLine="720"/>
      </w:pPr>
      <w:r>
        <w:t>По отношение на здравноосигурителната</w:t>
      </w:r>
      <w:r w:rsidR="00E876C8">
        <w:t xml:space="preserve"> система, то тя страда от подобна системна грешка. Постоянно нарастват броя на лечебните заведения, водещ о</w:t>
      </w:r>
      <w:r w:rsidR="00EA5D5F">
        <w:t>с</w:t>
      </w:r>
      <w:r w:rsidR="00E876C8">
        <w:t>вен до съществен недостиг на персонал, но и до нарастващ финансов недостиг за гарантиране на достъпа до качествено и достъпно здравеопазване.</w:t>
      </w:r>
      <w:r w:rsidR="009A44EA">
        <w:t xml:space="preserve"> </w:t>
      </w:r>
      <w:r w:rsidR="00AF7F5C">
        <w:t xml:space="preserve">Лечебните заведения са концентрирани несиметрично, за да се предлагат своевременна здравна услуга. </w:t>
      </w:r>
      <w:r w:rsidR="009A44EA">
        <w:t xml:space="preserve">Паралелно, </w:t>
      </w:r>
      <w:r w:rsidR="00AF7F5C">
        <w:t xml:space="preserve">цените на консумативите и лекарствата са едни от най-високите в Европа. </w:t>
      </w:r>
      <w:r w:rsidR="009A44EA">
        <w:t>Държавата постоянно води неравностойна борба с източването на здравната каса. Тук се налага спешна смяна на модела, свързан със задължителното здравно осигуряване</w:t>
      </w:r>
      <w:r w:rsidR="00D4425B">
        <w:t>, в противен случай недостигът, подобно на социално-осигурителната система</w:t>
      </w:r>
      <w:r w:rsidR="00B602F3">
        <w:t>,</w:t>
      </w:r>
      <w:r w:rsidR="00D4425B">
        <w:t xml:space="preserve"> ще продължи да расте до нива на </w:t>
      </w:r>
      <w:proofErr w:type="spellStart"/>
      <w:r w:rsidR="00D4425B">
        <w:t>неупр</w:t>
      </w:r>
      <w:r w:rsidR="000F193F">
        <w:t>а</w:t>
      </w:r>
      <w:r w:rsidR="00D4425B">
        <w:t>вляемост</w:t>
      </w:r>
      <w:proofErr w:type="spellEnd"/>
      <w:r w:rsidR="00D4425B">
        <w:t>. Вече се чуват призиви за поредното увеличение на здравната внос</w:t>
      </w:r>
      <w:r w:rsidR="00EA5D5F">
        <w:t xml:space="preserve">ка, защото здравната система </w:t>
      </w:r>
      <w:r w:rsidR="008A77D1">
        <w:t>фактически</w:t>
      </w:r>
      <w:r w:rsidR="00EA5D5F">
        <w:t xml:space="preserve"> е подчинена на </w:t>
      </w:r>
      <w:r w:rsidR="00FF7FF4">
        <w:t>„печалбата“, а не на добрата услуга.</w:t>
      </w:r>
    </w:p>
    <w:p w14:paraId="3B1BC15C" w14:textId="79BFCCFC" w:rsidR="00C26375" w:rsidRDefault="009A78AF" w:rsidP="00CF4079">
      <w:pPr>
        <w:ind w:firstLine="720"/>
      </w:pPr>
      <w:r>
        <w:t>Осигурителната система, която работи на солидарен принцип</w:t>
      </w:r>
      <w:r w:rsidR="004B0D0E">
        <w:t>,</w:t>
      </w:r>
      <w:r>
        <w:t xml:space="preserve"> ще продължи да трупа устойчиво нарастващи дефицити, докато облага само ниските доходи, а високите доходи продължават да не поемат своята солидарна част.</w:t>
      </w:r>
    </w:p>
    <w:p w14:paraId="44BB26A5" w14:textId="20336CC1" w:rsidR="004159B2" w:rsidRDefault="004159B2" w:rsidP="00CF4079">
      <w:pPr>
        <w:ind w:firstLine="720"/>
      </w:pPr>
      <w:r>
        <w:t xml:space="preserve">Предвид </w:t>
      </w:r>
      <w:r w:rsidR="00713061">
        <w:t xml:space="preserve">официално отчетения статистически постоянен </w:t>
      </w:r>
      <w:r>
        <w:t>ръст на работещите бедни</w:t>
      </w:r>
      <w:r w:rsidR="00713061">
        <w:t>,</w:t>
      </w:r>
      <w:r>
        <w:t xml:space="preserve"> високият процент на домакинствата в риск от бедност</w:t>
      </w:r>
      <w:r w:rsidR="00713061">
        <w:t xml:space="preserve"> и увеличаващите се подоходни неравенства</w:t>
      </w:r>
      <w:r>
        <w:t>, то правилната политика е да не се прехвърля повече тежест към работещите</w:t>
      </w:r>
      <w:r w:rsidR="00713061">
        <w:t xml:space="preserve">, а системата да започне да залага все </w:t>
      </w:r>
      <w:r w:rsidR="00713061">
        <w:lastRenderedPageBreak/>
        <w:t>повече на солидарния принцип и обществената отговорност на хората с високи доходи.</w:t>
      </w:r>
    </w:p>
    <w:p w14:paraId="1B140D12" w14:textId="73C09123" w:rsidR="00C26375" w:rsidRDefault="00C26375">
      <w:pPr>
        <w:jc w:val="left"/>
      </w:pPr>
    </w:p>
    <w:p w14:paraId="2E146197" w14:textId="215F893B" w:rsidR="00CF4079" w:rsidRPr="00D20288" w:rsidRDefault="00DB5232" w:rsidP="00220DC2">
      <w:pPr>
        <w:ind w:firstLine="720"/>
        <w:jc w:val="center"/>
        <w:rPr>
          <w:b/>
        </w:rPr>
      </w:pPr>
      <w:r w:rsidRPr="00D20288">
        <w:rPr>
          <w:b/>
        </w:rPr>
        <w:t>Разходи за лихви</w:t>
      </w:r>
    </w:p>
    <w:p w14:paraId="4A90840E" w14:textId="7C8C664A" w:rsidR="00DB5232" w:rsidRDefault="00D20288" w:rsidP="00D20288">
      <w:pPr>
        <w:ind w:firstLine="720"/>
      </w:pPr>
      <w:r>
        <w:t>Разходите за лихви се прогнозират лесно</w:t>
      </w:r>
      <w:r w:rsidR="00A8715A">
        <w:t xml:space="preserve"> </w:t>
      </w:r>
      <w:r w:rsidR="00CE1FD6">
        <w:t xml:space="preserve">от </w:t>
      </w:r>
      <w:r w:rsidR="00A8715A">
        <w:t>Министерство на финансите</w:t>
      </w:r>
      <w:r>
        <w:t xml:space="preserve">, предвид детайлната и пълна информация </w:t>
      </w:r>
      <w:r w:rsidR="00A8715A">
        <w:t>с която разполага</w:t>
      </w:r>
      <w:r w:rsidR="00AC7E80">
        <w:t xml:space="preserve"> за </w:t>
      </w:r>
      <w:r w:rsidR="00E313BF">
        <w:t>текущите</w:t>
      </w:r>
      <w:r w:rsidR="00AC7E80">
        <w:t xml:space="preserve"> и поетите нови дългове</w:t>
      </w:r>
      <w:r>
        <w:t>.</w:t>
      </w:r>
    </w:p>
    <w:p w14:paraId="0F90A698" w14:textId="1CC4DFA9" w:rsidR="00DB5232" w:rsidRDefault="00D20288" w:rsidP="00827A68">
      <w:pPr>
        <w:ind w:firstLine="720"/>
      </w:pPr>
      <w:r>
        <w:t>Тук не може да се очакват големи изненади.</w:t>
      </w:r>
    </w:p>
    <w:p w14:paraId="74D6526E" w14:textId="5B9EE845" w:rsidR="00D20288" w:rsidRDefault="00D20288" w:rsidP="00827A68">
      <w:pPr>
        <w:ind w:firstLine="720"/>
      </w:pPr>
      <w:r>
        <w:t xml:space="preserve">Налице е </w:t>
      </w:r>
      <w:r w:rsidR="00804805">
        <w:t>ръст на тези разходи, който е очакван на фона на растящите бюджетни разходи, които не могат да бъдат догонени от ръста на приходите.</w:t>
      </w:r>
    </w:p>
    <w:p w14:paraId="626B2FBD" w14:textId="7A4192D4" w:rsidR="00AA1466" w:rsidRPr="00E73A7F" w:rsidRDefault="00103039" w:rsidP="00AA1466">
      <w:pPr>
        <w:ind w:firstLine="720"/>
        <w:jc w:val="right"/>
        <w:rPr>
          <w:i/>
        </w:rPr>
      </w:pPr>
      <w:r>
        <w:rPr>
          <w:noProof/>
          <w:lang w:eastAsia="bg-BG"/>
        </w:rPr>
        <w:drawing>
          <wp:anchor distT="0" distB="0" distL="114300" distR="114300" simplePos="0" relativeHeight="251675648" behindDoc="0" locked="0" layoutInCell="1" allowOverlap="1" wp14:anchorId="2C3C3FB8" wp14:editId="0060C10A">
            <wp:simplePos x="0" y="0"/>
            <wp:positionH relativeFrom="page">
              <wp:posOffset>1581150</wp:posOffset>
            </wp:positionH>
            <wp:positionV relativeFrom="paragraph">
              <wp:posOffset>254635</wp:posOffset>
            </wp:positionV>
            <wp:extent cx="4686300" cy="3768090"/>
            <wp:effectExtent l="0" t="0" r="0" b="381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76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466">
        <w:rPr>
          <w:i/>
        </w:rPr>
        <w:t>г</w:t>
      </w:r>
      <w:r w:rsidR="00AA1466" w:rsidRPr="00E73A7F">
        <w:rPr>
          <w:i/>
        </w:rPr>
        <w:t>раф.</w:t>
      </w:r>
      <w:r w:rsidR="00AA1466">
        <w:rPr>
          <w:i/>
        </w:rPr>
        <w:t>12</w:t>
      </w:r>
    </w:p>
    <w:p w14:paraId="615B7CF2" w14:textId="56E06690" w:rsidR="00827A68" w:rsidRDefault="00804805" w:rsidP="00827A68">
      <w:pPr>
        <w:ind w:firstLine="720"/>
      </w:pPr>
      <w:r>
        <w:t xml:space="preserve">Основната причина </w:t>
      </w:r>
      <w:r w:rsidR="006214EE">
        <w:t>за ниските приходи</w:t>
      </w:r>
      <w:r w:rsidR="00A8715A">
        <w:t>, естествено</w:t>
      </w:r>
      <w:r w:rsidR="006214EE">
        <w:t xml:space="preserve"> е </w:t>
      </w:r>
      <w:r w:rsidR="00827A68">
        <w:t xml:space="preserve">липсата на висок икономически ръст. </w:t>
      </w:r>
    </w:p>
    <w:p w14:paraId="313DD2A8" w14:textId="3DF6BCF5" w:rsidR="00804805" w:rsidRDefault="00E9215F" w:rsidP="00827A68">
      <w:pPr>
        <w:ind w:firstLine="720"/>
      </w:pPr>
      <w:r>
        <w:t xml:space="preserve">А първопричината </w:t>
      </w:r>
      <w:r w:rsidR="006E0020">
        <w:t xml:space="preserve">за слабия икономически ръст </w:t>
      </w:r>
      <w:r>
        <w:t>е</w:t>
      </w:r>
      <w:r w:rsidR="00804805">
        <w:t xml:space="preserve"> липсата на последователна и експанзионистична </w:t>
      </w:r>
      <w:r w:rsidR="00827A68">
        <w:t>икономическа политика, рецесията във водещите икономики в Европа, нарастващите регулации на пазара, високите цени на енергията, липсата на инвестиции в нови технологии</w:t>
      </w:r>
      <w:r>
        <w:t>, напрегнатата геополитическата обстановка, ясно формулираните предимства на местната икономика</w:t>
      </w:r>
      <w:r w:rsidR="006E0020">
        <w:t xml:space="preserve"> и други фактори.</w:t>
      </w:r>
    </w:p>
    <w:p w14:paraId="5BB02C92" w14:textId="4738C9C4" w:rsidR="005F16E4" w:rsidRDefault="005F16E4" w:rsidP="00827A68">
      <w:pPr>
        <w:ind w:firstLine="720"/>
      </w:pPr>
      <w:r>
        <w:t>Останалите пера от разходната част имат пренебрежимо влияние върху нивото им.</w:t>
      </w:r>
    </w:p>
    <w:p w14:paraId="1C6D21CB" w14:textId="35D3CE71" w:rsidR="00797062" w:rsidRPr="00797062" w:rsidRDefault="00797062" w:rsidP="001C776E">
      <w:pPr>
        <w:shd w:val="clear" w:color="auto" w:fill="FFC000"/>
        <w:jc w:val="center"/>
        <w:rPr>
          <w:b/>
          <w:bCs/>
        </w:rPr>
      </w:pPr>
      <w:r w:rsidRPr="006214EE">
        <w:rPr>
          <w:b/>
          <w:bCs/>
        </w:rPr>
        <w:lastRenderedPageBreak/>
        <w:t>ІІІ. Д</w:t>
      </w:r>
      <w:r w:rsidR="000F3EE5" w:rsidRPr="006214EE">
        <w:rPr>
          <w:b/>
          <w:bCs/>
        </w:rPr>
        <w:t>ефицит</w:t>
      </w:r>
    </w:p>
    <w:p w14:paraId="42BF769A" w14:textId="5941AAA4" w:rsidR="00F40055" w:rsidRPr="00F801B1" w:rsidRDefault="00F40055" w:rsidP="00A30AD3">
      <w:pPr>
        <w:ind w:firstLine="720"/>
      </w:pPr>
      <w:r w:rsidRPr="00F801B1">
        <w:t>Планираният дефицит по Държавния бюджет за 2025 г. е 7</w:t>
      </w:r>
      <w:r w:rsidR="00B369DC" w:rsidRPr="00F801B1">
        <w:t>,</w:t>
      </w:r>
      <w:r w:rsidRPr="00F801B1">
        <w:t>1 млрд.</w:t>
      </w:r>
      <w:r w:rsidR="00F74AC9">
        <w:t xml:space="preserve"> </w:t>
      </w:r>
      <w:r w:rsidRPr="00F801B1">
        <w:t>лв.</w:t>
      </w:r>
    </w:p>
    <w:p w14:paraId="389C17AB" w14:textId="3B5CEE2F" w:rsidR="00981018" w:rsidRPr="00EC795C" w:rsidRDefault="00A30AD3" w:rsidP="00A30AD3">
      <w:pPr>
        <w:ind w:firstLine="720"/>
      </w:pPr>
      <w:r w:rsidRPr="00EC795C">
        <w:t>Максималният доп</w:t>
      </w:r>
      <w:r w:rsidR="004A0819" w:rsidRPr="00EC795C">
        <w:t xml:space="preserve">ълнителен дефицит </w:t>
      </w:r>
      <w:r w:rsidR="00F74AC9">
        <w:t xml:space="preserve">според прогнозата на КТ „Подкрепа“ </w:t>
      </w:r>
      <w:r w:rsidR="004A0819" w:rsidRPr="00EC795C">
        <w:t xml:space="preserve">би бил до </w:t>
      </w:r>
      <w:r w:rsidR="00856EE9">
        <w:rPr>
          <w:lang w:val="en-US"/>
        </w:rPr>
        <w:t>5</w:t>
      </w:r>
      <w:r w:rsidR="00856EE9">
        <w:t>,9</w:t>
      </w:r>
      <w:r w:rsidRPr="00EC795C">
        <w:t xml:space="preserve"> млрд.</w:t>
      </w:r>
      <w:r w:rsidR="00F74AC9">
        <w:t xml:space="preserve"> </w:t>
      </w:r>
      <w:r w:rsidRPr="00EC795C">
        <w:t>лв</w:t>
      </w:r>
      <w:r w:rsidR="00D106B7" w:rsidRPr="00EC795C">
        <w:t>. повече от заложеното по закон</w:t>
      </w:r>
      <w:r w:rsidR="00F74AC9">
        <w:t>,</w:t>
      </w:r>
      <w:r w:rsidR="00D106B7" w:rsidRPr="00EC795C">
        <w:t xml:space="preserve"> при условие че </w:t>
      </w:r>
      <w:r w:rsidRPr="00EC795C">
        <w:t>не се изпълнят приходите при най-</w:t>
      </w:r>
      <w:r w:rsidR="00227E36" w:rsidRPr="00EC795C">
        <w:t>лошия</w:t>
      </w:r>
      <w:r w:rsidRPr="00EC795C">
        <w:t xml:space="preserve"> сценарий</w:t>
      </w:r>
      <w:r w:rsidR="00EC795C" w:rsidRPr="00EC795C">
        <w:t xml:space="preserve"> и се надвишат някои разходни пера, например трансфери към общините</w:t>
      </w:r>
      <w:r w:rsidRPr="00EC795C">
        <w:t>.</w:t>
      </w:r>
      <w:r w:rsidR="00F40055" w:rsidRPr="00EC795C">
        <w:t xml:space="preserve"> При подобно </w:t>
      </w:r>
      <w:r w:rsidR="00227E36" w:rsidRPr="00EC795C">
        <w:t xml:space="preserve">песимистично </w:t>
      </w:r>
      <w:r w:rsidR="00F40055" w:rsidRPr="00EC795C">
        <w:t>изпълнение на приходите и разходите</w:t>
      </w:r>
      <w:r w:rsidR="00F74AC9">
        <w:t>,</w:t>
      </w:r>
      <w:r w:rsidR="00F40055" w:rsidRPr="00EC795C">
        <w:t xml:space="preserve"> то дефицитът ще нарасне до </w:t>
      </w:r>
      <w:r w:rsidR="0057216F">
        <w:t>13,</w:t>
      </w:r>
      <w:r w:rsidR="00053256">
        <w:t>0</w:t>
      </w:r>
      <w:r w:rsidR="004A0819" w:rsidRPr="00EC795C">
        <w:t xml:space="preserve"> млрд.</w:t>
      </w:r>
      <w:r w:rsidR="00F74AC9">
        <w:t xml:space="preserve"> </w:t>
      </w:r>
      <w:r w:rsidR="004A0819" w:rsidRPr="00EC795C">
        <w:t>лв.</w:t>
      </w:r>
    </w:p>
    <w:p w14:paraId="6BA487F2" w14:textId="306163FF" w:rsidR="00A30AD3" w:rsidRDefault="00A30AD3" w:rsidP="00A30AD3">
      <w:pPr>
        <w:ind w:firstLine="720"/>
      </w:pPr>
      <w:r w:rsidRPr="002E1386">
        <w:t xml:space="preserve">При оптимистичен сценарий </w:t>
      </w:r>
      <w:r w:rsidR="002E1386" w:rsidRPr="002E1386">
        <w:t xml:space="preserve">за приходите (неизпълнение с </w:t>
      </w:r>
      <w:r w:rsidR="0057216F">
        <w:t>4,</w:t>
      </w:r>
      <w:r w:rsidR="00DA38ED">
        <w:t>6</w:t>
      </w:r>
      <w:r w:rsidRPr="002E1386">
        <w:t xml:space="preserve"> млрд.</w:t>
      </w:r>
      <w:r w:rsidR="00F74AC9">
        <w:t xml:space="preserve"> </w:t>
      </w:r>
      <w:r w:rsidRPr="002E1386">
        <w:t>лв.)</w:t>
      </w:r>
      <w:r w:rsidR="00D106B7" w:rsidRPr="002E1386">
        <w:t xml:space="preserve"> и </w:t>
      </w:r>
      <w:r w:rsidR="00AC21EF" w:rsidRPr="002E1386">
        <w:t>оптимистична</w:t>
      </w:r>
      <w:r w:rsidR="00306B4B" w:rsidRPr="002E1386">
        <w:t xml:space="preserve"> </w:t>
      </w:r>
      <w:r w:rsidR="00D106B7" w:rsidRPr="002E1386">
        <w:t xml:space="preserve">икономия в разходите от </w:t>
      </w:r>
      <w:r w:rsidR="002E1386" w:rsidRPr="002E1386">
        <w:t>4,3</w:t>
      </w:r>
      <w:r w:rsidR="00D106B7" w:rsidRPr="002E1386">
        <w:t xml:space="preserve"> млрд.</w:t>
      </w:r>
      <w:r w:rsidR="00F74AC9">
        <w:t xml:space="preserve"> </w:t>
      </w:r>
      <w:r w:rsidR="00D106B7" w:rsidRPr="002E1386">
        <w:t xml:space="preserve">лв., </w:t>
      </w:r>
      <w:r w:rsidR="004A0819" w:rsidRPr="002E1386">
        <w:t>то бюджетния</w:t>
      </w:r>
      <w:r w:rsidR="00F74AC9">
        <w:t>т</w:t>
      </w:r>
      <w:r w:rsidR="004A0819" w:rsidRPr="002E1386">
        <w:t xml:space="preserve"> дефицит ще </w:t>
      </w:r>
      <w:r w:rsidR="0057216F">
        <w:t xml:space="preserve">бъде </w:t>
      </w:r>
      <w:r w:rsidR="004A0819" w:rsidRPr="002E1386">
        <w:t xml:space="preserve">до </w:t>
      </w:r>
      <w:r w:rsidR="0057216F">
        <w:t>7,</w:t>
      </w:r>
      <w:r w:rsidR="00656635">
        <w:rPr>
          <w:lang w:val="en-US"/>
        </w:rPr>
        <w:t>5</w:t>
      </w:r>
      <w:r w:rsidR="004A0819" w:rsidRPr="002E1386">
        <w:t xml:space="preserve"> млрд.</w:t>
      </w:r>
      <w:r w:rsidR="00F74AC9">
        <w:t xml:space="preserve"> </w:t>
      </w:r>
      <w:r w:rsidR="004A0819" w:rsidRPr="002E1386">
        <w:t>лв.</w:t>
      </w:r>
      <w:r w:rsidR="00533CA8">
        <w:rPr>
          <w:lang w:val="en-US"/>
        </w:rPr>
        <w:t xml:space="preserve"> -</w:t>
      </w:r>
      <w:r w:rsidR="0057216F">
        <w:t xml:space="preserve"> много близо до заложения в бюджета.</w:t>
      </w:r>
    </w:p>
    <w:p w14:paraId="0880880E" w14:textId="7C0F9E3A" w:rsidR="00F82467" w:rsidRDefault="00F82467" w:rsidP="00A30AD3">
      <w:pPr>
        <w:ind w:firstLine="720"/>
      </w:pPr>
      <w:r>
        <w:t>При втория вариант на оптимистичен сценарий се очаква неизпълнение на приходите в размер на 3,</w:t>
      </w:r>
      <w:r w:rsidR="00700449">
        <w:t>5</w:t>
      </w:r>
      <w:r>
        <w:t xml:space="preserve"> млрд.</w:t>
      </w:r>
      <w:r w:rsidR="00F74AC9">
        <w:t xml:space="preserve"> </w:t>
      </w:r>
      <w:r>
        <w:t>лв.</w:t>
      </w:r>
      <w:r w:rsidR="003543CB">
        <w:t xml:space="preserve"> при икономия на разходите в размер на 4,3 млр</w:t>
      </w:r>
      <w:r w:rsidR="00AB39E3">
        <w:t>д</w:t>
      </w:r>
      <w:r w:rsidR="003543CB">
        <w:t>.</w:t>
      </w:r>
      <w:r w:rsidR="00F74AC9">
        <w:t xml:space="preserve"> </w:t>
      </w:r>
      <w:r w:rsidR="003543CB">
        <w:t>лв.</w:t>
      </w:r>
      <w:r>
        <w:t xml:space="preserve"> При </w:t>
      </w:r>
      <w:r w:rsidR="0018329F">
        <w:t>него</w:t>
      </w:r>
      <w:r>
        <w:t xml:space="preserve"> се очаква </w:t>
      </w:r>
      <w:r w:rsidR="003543CB">
        <w:t xml:space="preserve">бюджетният </w:t>
      </w:r>
      <w:r>
        <w:t xml:space="preserve">дефицит да достигне 6,4 млрд. лв., което е </w:t>
      </w:r>
      <w:r w:rsidR="006F577C">
        <w:t xml:space="preserve">с </w:t>
      </w:r>
      <w:r>
        <w:t>0,7 млр</w:t>
      </w:r>
      <w:r w:rsidR="003543CB">
        <w:t>д</w:t>
      </w:r>
      <w:r>
        <w:t>.</w:t>
      </w:r>
      <w:r w:rsidR="00F74AC9">
        <w:t xml:space="preserve"> </w:t>
      </w:r>
      <w:r w:rsidR="003543CB">
        <w:t>лв.</w:t>
      </w:r>
      <w:r>
        <w:t xml:space="preserve"> по-малко </w:t>
      </w:r>
      <w:r w:rsidR="003543CB">
        <w:t xml:space="preserve">от </w:t>
      </w:r>
      <w:r>
        <w:t>дефицит</w:t>
      </w:r>
      <w:r w:rsidR="003543CB">
        <w:t xml:space="preserve">а, </w:t>
      </w:r>
      <w:r>
        <w:t xml:space="preserve">заложен по </w:t>
      </w:r>
      <w:r w:rsidR="003543CB">
        <w:t>закон</w:t>
      </w:r>
      <w:r>
        <w:t>.</w:t>
      </w:r>
    </w:p>
    <w:p w14:paraId="1DD90D0C" w14:textId="2BE67C5E" w:rsidR="00EF2580" w:rsidRPr="00E73A7F" w:rsidRDefault="00EF2580" w:rsidP="00EF2580">
      <w:pPr>
        <w:ind w:firstLine="720"/>
        <w:jc w:val="right"/>
        <w:rPr>
          <w:i/>
        </w:rPr>
      </w:pPr>
      <w:r>
        <w:rPr>
          <w:i/>
        </w:rPr>
        <w:t>г</w:t>
      </w:r>
      <w:r w:rsidRPr="00E73A7F">
        <w:rPr>
          <w:i/>
        </w:rPr>
        <w:t>раф.</w:t>
      </w:r>
      <w:r>
        <w:rPr>
          <w:i/>
        </w:rPr>
        <w:t>13</w:t>
      </w:r>
    </w:p>
    <w:p w14:paraId="532B762E" w14:textId="68372B94" w:rsidR="00585231" w:rsidRDefault="004B669E">
      <w:pPr>
        <w:jc w:val="left"/>
      </w:pPr>
      <w:r>
        <w:rPr>
          <w:noProof/>
        </w:rPr>
        <w:drawing>
          <wp:inline distT="0" distB="0" distL="0" distR="0" wp14:anchorId="410FF6B8" wp14:editId="765E96BF">
            <wp:extent cx="5932170" cy="3578269"/>
            <wp:effectExtent l="0" t="0" r="0" b="3175"/>
            <wp:docPr id="13852572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112" cy="3584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85231">
        <w:br w:type="page"/>
      </w:r>
    </w:p>
    <w:p w14:paraId="443DDDB7" w14:textId="40EABC18" w:rsidR="00EF2580" w:rsidRPr="00E73A7F" w:rsidRDefault="00EF2580" w:rsidP="00EF2580">
      <w:pPr>
        <w:ind w:firstLine="720"/>
        <w:jc w:val="right"/>
        <w:rPr>
          <w:i/>
        </w:rPr>
      </w:pPr>
      <w:r>
        <w:rPr>
          <w:i/>
        </w:rPr>
        <w:lastRenderedPageBreak/>
        <w:t>г</w:t>
      </w:r>
      <w:r w:rsidRPr="00E73A7F">
        <w:rPr>
          <w:i/>
        </w:rPr>
        <w:t>раф.</w:t>
      </w:r>
      <w:r>
        <w:rPr>
          <w:i/>
        </w:rPr>
        <w:t>14</w:t>
      </w:r>
    </w:p>
    <w:p w14:paraId="1CFFF589" w14:textId="1D942385" w:rsidR="00EF2580" w:rsidRDefault="00204856" w:rsidP="00EF2580">
      <w:r>
        <w:rPr>
          <w:noProof/>
        </w:rPr>
        <w:drawing>
          <wp:inline distT="0" distB="0" distL="0" distR="0" wp14:anchorId="46BAB905" wp14:editId="2F272D28">
            <wp:extent cx="5886450" cy="4266799"/>
            <wp:effectExtent l="0" t="0" r="0" b="635"/>
            <wp:docPr id="7205686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879" cy="42736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7B3DD2" w14:textId="43138644" w:rsidR="00EF2580" w:rsidRPr="002E1386" w:rsidRDefault="00EF2580" w:rsidP="00A30AD3">
      <w:pPr>
        <w:ind w:firstLine="720"/>
      </w:pPr>
    </w:p>
    <w:p w14:paraId="516EA6C0" w14:textId="77777777" w:rsidR="00EF2580" w:rsidRDefault="00EF2580" w:rsidP="007B2542"/>
    <w:sectPr w:rsidR="00EF2580" w:rsidSect="009527FB">
      <w:pgSz w:w="11906" w:h="16838" w:code="9"/>
      <w:pgMar w:top="1134" w:right="1134" w:bottom="113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417"/>
    <w:multiLevelType w:val="hybridMultilevel"/>
    <w:tmpl w:val="888040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D623E6"/>
    <w:multiLevelType w:val="hybridMultilevel"/>
    <w:tmpl w:val="4DF0663C"/>
    <w:lvl w:ilvl="0" w:tplc="A34ABF8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8682293">
    <w:abstractNumId w:val="1"/>
  </w:num>
  <w:num w:numId="2" w16cid:durableId="25494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57"/>
    <w:rsid w:val="00004B42"/>
    <w:rsid w:val="0000780E"/>
    <w:rsid w:val="00010B19"/>
    <w:rsid w:val="00014F5E"/>
    <w:rsid w:val="000230D1"/>
    <w:rsid w:val="00034B49"/>
    <w:rsid w:val="00040F0B"/>
    <w:rsid w:val="00042B46"/>
    <w:rsid w:val="00043607"/>
    <w:rsid w:val="00053256"/>
    <w:rsid w:val="00053FB5"/>
    <w:rsid w:val="00055030"/>
    <w:rsid w:val="000667B0"/>
    <w:rsid w:val="00072A99"/>
    <w:rsid w:val="00080AEE"/>
    <w:rsid w:val="00084DF1"/>
    <w:rsid w:val="000A15A5"/>
    <w:rsid w:val="000A2BFB"/>
    <w:rsid w:val="000A7002"/>
    <w:rsid w:val="000B6AC4"/>
    <w:rsid w:val="000C5361"/>
    <w:rsid w:val="000C6882"/>
    <w:rsid w:val="000C743D"/>
    <w:rsid w:val="000D7496"/>
    <w:rsid w:val="000E14F9"/>
    <w:rsid w:val="000F193F"/>
    <w:rsid w:val="000F3EE5"/>
    <w:rsid w:val="000F5F3D"/>
    <w:rsid w:val="00103039"/>
    <w:rsid w:val="001215CB"/>
    <w:rsid w:val="00132CA3"/>
    <w:rsid w:val="00134B3C"/>
    <w:rsid w:val="0014583E"/>
    <w:rsid w:val="001617BC"/>
    <w:rsid w:val="00162FE2"/>
    <w:rsid w:val="00167914"/>
    <w:rsid w:val="001738D4"/>
    <w:rsid w:val="0018329F"/>
    <w:rsid w:val="001A60BC"/>
    <w:rsid w:val="001A60C8"/>
    <w:rsid w:val="001C776E"/>
    <w:rsid w:val="001C7CF8"/>
    <w:rsid w:val="001D20AD"/>
    <w:rsid w:val="001F070A"/>
    <w:rsid w:val="001F57F5"/>
    <w:rsid w:val="001F713E"/>
    <w:rsid w:val="00204856"/>
    <w:rsid w:val="00220DC2"/>
    <w:rsid w:val="00224F14"/>
    <w:rsid w:val="00227E36"/>
    <w:rsid w:val="00244353"/>
    <w:rsid w:val="00245CF5"/>
    <w:rsid w:val="00251C3C"/>
    <w:rsid w:val="002530D8"/>
    <w:rsid w:val="00255922"/>
    <w:rsid w:val="002670C9"/>
    <w:rsid w:val="0028054B"/>
    <w:rsid w:val="00281EE9"/>
    <w:rsid w:val="00291204"/>
    <w:rsid w:val="00295824"/>
    <w:rsid w:val="002A6C61"/>
    <w:rsid w:val="002C3342"/>
    <w:rsid w:val="002C5C57"/>
    <w:rsid w:val="002D3817"/>
    <w:rsid w:val="002D717E"/>
    <w:rsid w:val="002E1386"/>
    <w:rsid w:val="002E329F"/>
    <w:rsid w:val="002F2BAF"/>
    <w:rsid w:val="002F5A22"/>
    <w:rsid w:val="002F7C52"/>
    <w:rsid w:val="0030194C"/>
    <w:rsid w:val="00302B34"/>
    <w:rsid w:val="00306B4B"/>
    <w:rsid w:val="00312757"/>
    <w:rsid w:val="00315AF3"/>
    <w:rsid w:val="00330C3C"/>
    <w:rsid w:val="003417DE"/>
    <w:rsid w:val="003504C6"/>
    <w:rsid w:val="003543CB"/>
    <w:rsid w:val="00380513"/>
    <w:rsid w:val="00384E6D"/>
    <w:rsid w:val="00386F0F"/>
    <w:rsid w:val="003A38B3"/>
    <w:rsid w:val="003A40F0"/>
    <w:rsid w:val="003B1A0C"/>
    <w:rsid w:val="003B2102"/>
    <w:rsid w:val="003B3731"/>
    <w:rsid w:val="003D7E66"/>
    <w:rsid w:val="003E1746"/>
    <w:rsid w:val="003E2225"/>
    <w:rsid w:val="003E478E"/>
    <w:rsid w:val="003E71C0"/>
    <w:rsid w:val="003F2D40"/>
    <w:rsid w:val="00400083"/>
    <w:rsid w:val="00401AFA"/>
    <w:rsid w:val="004159B2"/>
    <w:rsid w:val="004229BC"/>
    <w:rsid w:val="0042531D"/>
    <w:rsid w:val="0043223B"/>
    <w:rsid w:val="00434F49"/>
    <w:rsid w:val="00436AF7"/>
    <w:rsid w:val="004412DF"/>
    <w:rsid w:val="00441831"/>
    <w:rsid w:val="00451BB3"/>
    <w:rsid w:val="00491910"/>
    <w:rsid w:val="00497AEF"/>
    <w:rsid w:val="004A0819"/>
    <w:rsid w:val="004A33ED"/>
    <w:rsid w:val="004A5053"/>
    <w:rsid w:val="004B0D0E"/>
    <w:rsid w:val="004B3334"/>
    <w:rsid w:val="004B669E"/>
    <w:rsid w:val="004B6EA5"/>
    <w:rsid w:val="004C31A3"/>
    <w:rsid w:val="004D085F"/>
    <w:rsid w:val="004D0CBA"/>
    <w:rsid w:val="004F10AA"/>
    <w:rsid w:val="004F5F20"/>
    <w:rsid w:val="00505947"/>
    <w:rsid w:val="005106A2"/>
    <w:rsid w:val="00512E2D"/>
    <w:rsid w:val="00522031"/>
    <w:rsid w:val="0052622C"/>
    <w:rsid w:val="00533CA8"/>
    <w:rsid w:val="005357F2"/>
    <w:rsid w:val="00554AC5"/>
    <w:rsid w:val="0056235D"/>
    <w:rsid w:val="00563085"/>
    <w:rsid w:val="00567CD5"/>
    <w:rsid w:val="0057216F"/>
    <w:rsid w:val="00572A3E"/>
    <w:rsid w:val="005732DD"/>
    <w:rsid w:val="00575AC4"/>
    <w:rsid w:val="00585231"/>
    <w:rsid w:val="0059144C"/>
    <w:rsid w:val="005B0972"/>
    <w:rsid w:val="005B0FD0"/>
    <w:rsid w:val="005B4D9A"/>
    <w:rsid w:val="005B609F"/>
    <w:rsid w:val="005B65BB"/>
    <w:rsid w:val="005C1982"/>
    <w:rsid w:val="005C6345"/>
    <w:rsid w:val="005C7893"/>
    <w:rsid w:val="005D74B4"/>
    <w:rsid w:val="005E0E34"/>
    <w:rsid w:val="005E25B8"/>
    <w:rsid w:val="005E3C61"/>
    <w:rsid w:val="005E7883"/>
    <w:rsid w:val="005F08AC"/>
    <w:rsid w:val="005F16E4"/>
    <w:rsid w:val="005F58DE"/>
    <w:rsid w:val="005F78AF"/>
    <w:rsid w:val="0060710D"/>
    <w:rsid w:val="00616D5A"/>
    <w:rsid w:val="006214EE"/>
    <w:rsid w:val="00632FA6"/>
    <w:rsid w:val="00636812"/>
    <w:rsid w:val="00640369"/>
    <w:rsid w:val="0064381E"/>
    <w:rsid w:val="00651490"/>
    <w:rsid w:val="006514A1"/>
    <w:rsid w:val="00656635"/>
    <w:rsid w:val="00664678"/>
    <w:rsid w:val="006648E7"/>
    <w:rsid w:val="006661E3"/>
    <w:rsid w:val="006672BF"/>
    <w:rsid w:val="00690AC7"/>
    <w:rsid w:val="006914CE"/>
    <w:rsid w:val="00692F9D"/>
    <w:rsid w:val="006A301F"/>
    <w:rsid w:val="006A3AFF"/>
    <w:rsid w:val="006B1093"/>
    <w:rsid w:val="006B22FF"/>
    <w:rsid w:val="006B33A6"/>
    <w:rsid w:val="006C72C0"/>
    <w:rsid w:val="006E0020"/>
    <w:rsid w:val="006E0054"/>
    <w:rsid w:val="006E4863"/>
    <w:rsid w:val="006F577C"/>
    <w:rsid w:val="006F7078"/>
    <w:rsid w:val="006F7A20"/>
    <w:rsid w:val="00700449"/>
    <w:rsid w:val="0070727A"/>
    <w:rsid w:val="00710460"/>
    <w:rsid w:val="007116AF"/>
    <w:rsid w:val="00713061"/>
    <w:rsid w:val="007163FE"/>
    <w:rsid w:val="00722601"/>
    <w:rsid w:val="00740338"/>
    <w:rsid w:val="00761B14"/>
    <w:rsid w:val="007628B5"/>
    <w:rsid w:val="007651C5"/>
    <w:rsid w:val="00767DEF"/>
    <w:rsid w:val="007724A7"/>
    <w:rsid w:val="007725B2"/>
    <w:rsid w:val="00776FA0"/>
    <w:rsid w:val="00782360"/>
    <w:rsid w:val="00783334"/>
    <w:rsid w:val="0078369C"/>
    <w:rsid w:val="00786E56"/>
    <w:rsid w:val="00792EBC"/>
    <w:rsid w:val="00796491"/>
    <w:rsid w:val="00797062"/>
    <w:rsid w:val="00797485"/>
    <w:rsid w:val="007A229C"/>
    <w:rsid w:val="007B2542"/>
    <w:rsid w:val="007C15D8"/>
    <w:rsid w:val="007E03C2"/>
    <w:rsid w:val="007E05EF"/>
    <w:rsid w:val="007E4C13"/>
    <w:rsid w:val="007E5300"/>
    <w:rsid w:val="00804805"/>
    <w:rsid w:val="008103B3"/>
    <w:rsid w:val="00810605"/>
    <w:rsid w:val="00813B96"/>
    <w:rsid w:val="00817BCE"/>
    <w:rsid w:val="00827A68"/>
    <w:rsid w:val="00836C5C"/>
    <w:rsid w:val="00843FA0"/>
    <w:rsid w:val="00850677"/>
    <w:rsid w:val="0085333A"/>
    <w:rsid w:val="008540D7"/>
    <w:rsid w:val="00854657"/>
    <w:rsid w:val="00856EE9"/>
    <w:rsid w:val="00870413"/>
    <w:rsid w:val="00871428"/>
    <w:rsid w:val="00873E17"/>
    <w:rsid w:val="00876F12"/>
    <w:rsid w:val="008829C2"/>
    <w:rsid w:val="00890D8F"/>
    <w:rsid w:val="00897460"/>
    <w:rsid w:val="008A77D1"/>
    <w:rsid w:val="008C31B7"/>
    <w:rsid w:val="008C4634"/>
    <w:rsid w:val="008C61A4"/>
    <w:rsid w:val="008C6933"/>
    <w:rsid w:val="008E37B1"/>
    <w:rsid w:val="008F1AC7"/>
    <w:rsid w:val="00903ACE"/>
    <w:rsid w:val="009058CF"/>
    <w:rsid w:val="0091728E"/>
    <w:rsid w:val="00920B15"/>
    <w:rsid w:val="0093310F"/>
    <w:rsid w:val="009461BF"/>
    <w:rsid w:val="00950912"/>
    <w:rsid w:val="009527FB"/>
    <w:rsid w:val="00960D99"/>
    <w:rsid w:val="009633B1"/>
    <w:rsid w:val="00981018"/>
    <w:rsid w:val="0099088B"/>
    <w:rsid w:val="00991A3F"/>
    <w:rsid w:val="009A44EA"/>
    <w:rsid w:val="009A76D0"/>
    <w:rsid w:val="009A780A"/>
    <w:rsid w:val="009A78AF"/>
    <w:rsid w:val="009B6384"/>
    <w:rsid w:val="009C30D1"/>
    <w:rsid w:val="009E205C"/>
    <w:rsid w:val="009F26E1"/>
    <w:rsid w:val="00A30AD3"/>
    <w:rsid w:val="00A3503F"/>
    <w:rsid w:val="00A50081"/>
    <w:rsid w:val="00A528DD"/>
    <w:rsid w:val="00A65363"/>
    <w:rsid w:val="00A82D5C"/>
    <w:rsid w:val="00A84C36"/>
    <w:rsid w:val="00A8715A"/>
    <w:rsid w:val="00A933C0"/>
    <w:rsid w:val="00A95511"/>
    <w:rsid w:val="00AA1466"/>
    <w:rsid w:val="00AA52A5"/>
    <w:rsid w:val="00AB1DD8"/>
    <w:rsid w:val="00AB39E3"/>
    <w:rsid w:val="00AC21EF"/>
    <w:rsid w:val="00AC7E80"/>
    <w:rsid w:val="00AD09F7"/>
    <w:rsid w:val="00AE011E"/>
    <w:rsid w:val="00AF085C"/>
    <w:rsid w:val="00AF5B12"/>
    <w:rsid w:val="00AF61D8"/>
    <w:rsid w:val="00AF7F5C"/>
    <w:rsid w:val="00B0653E"/>
    <w:rsid w:val="00B1045E"/>
    <w:rsid w:val="00B13036"/>
    <w:rsid w:val="00B2209E"/>
    <w:rsid w:val="00B306B3"/>
    <w:rsid w:val="00B369DC"/>
    <w:rsid w:val="00B42B7D"/>
    <w:rsid w:val="00B45047"/>
    <w:rsid w:val="00B520E4"/>
    <w:rsid w:val="00B602F3"/>
    <w:rsid w:val="00B65670"/>
    <w:rsid w:val="00B673C6"/>
    <w:rsid w:val="00B82AB9"/>
    <w:rsid w:val="00B900AD"/>
    <w:rsid w:val="00B9523B"/>
    <w:rsid w:val="00B974F3"/>
    <w:rsid w:val="00BA1886"/>
    <w:rsid w:val="00BA36D6"/>
    <w:rsid w:val="00BA4F7E"/>
    <w:rsid w:val="00BC58CE"/>
    <w:rsid w:val="00BD16AD"/>
    <w:rsid w:val="00BE0591"/>
    <w:rsid w:val="00BE5396"/>
    <w:rsid w:val="00BE5B88"/>
    <w:rsid w:val="00BF26B2"/>
    <w:rsid w:val="00BF71D1"/>
    <w:rsid w:val="00C14A52"/>
    <w:rsid w:val="00C20357"/>
    <w:rsid w:val="00C23B6A"/>
    <w:rsid w:val="00C2523D"/>
    <w:rsid w:val="00C26375"/>
    <w:rsid w:val="00C31BEC"/>
    <w:rsid w:val="00C31FE6"/>
    <w:rsid w:val="00C32384"/>
    <w:rsid w:val="00C409B4"/>
    <w:rsid w:val="00C447FC"/>
    <w:rsid w:val="00C44D4D"/>
    <w:rsid w:val="00C50C8E"/>
    <w:rsid w:val="00C5305D"/>
    <w:rsid w:val="00C53370"/>
    <w:rsid w:val="00C66702"/>
    <w:rsid w:val="00C70BA8"/>
    <w:rsid w:val="00C74977"/>
    <w:rsid w:val="00C8004D"/>
    <w:rsid w:val="00C91939"/>
    <w:rsid w:val="00C965A5"/>
    <w:rsid w:val="00CA0330"/>
    <w:rsid w:val="00CB4CFD"/>
    <w:rsid w:val="00CB5264"/>
    <w:rsid w:val="00CB5F42"/>
    <w:rsid w:val="00CC4D2A"/>
    <w:rsid w:val="00CD6F34"/>
    <w:rsid w:val="00CE1FD6"/>
    <w:rsid w:val="00CE5568"/>
    <w:rsid w:val="00CE6642"/>
    <w:rsid w:val="00CE6F53"/>
    <w:rsid w:val="00CF0408"/>
    <w:rsid w:val="00CF2A65"/>
    <w:rsid w:val="00CF4079"/>
    <w:rsid w:val="00CF514D"/>
    <w:rsid w:val="00D106B7"/>
    <w:rsid w:val="00D20288"/>
    <w:rsid w:val="00D2130A"/>
    <w:rsid w:val="00D21A69"/>
    <w:rsid w:val="00D26F4A"/>
    <w:rsid w:val="00D27868"/>
    <w:rsid w:val="00D332B4"/>
    <w:rsid w:val="00D34ED6"/>
    <w:rsid w:val="00D35FA7"/>
    <w:rsid w:val="00D36F22"/>
    <w:rsid w:val="00D44042"/>
    <w:rsid w:val="00D4425B"/>
    <w:rsid w:val="00D4429E"/>
    <w:rsid w:val="00D45507"/>
    <w:rsid w:val="00D461E2"/>
    <w:rsid w:val="00D46B9B"/>
    <w:rsid w:val="00D46E14"/>
    <w:rsid w:val="00D51B7F"/>
    <w:rsid w:val="00D67F82"/>
    <w:rsid w:val="00D74CC3"/>
    <w:rsid w:val="00D81DDA"/>
    <w:rsid w:val="00D8485E"/>
    <w:rsid w:val="00D84E13"/>
    <w:rsid w:val="00D927DE"/>
    <w:rsid w:val="00DA2BBF"/>
    <w:rsid w:val="00DA38ED"/>
    <w:rsid w:val="00DA4970"/>
    <w:rsid w:val="00DA4E28"/>
    <w:rsid w:val="00DA5A79"/>
    <w:rsid w:val="00DA6685"/>
    <w:rsid w:val="00DB5232"/>
    <w:rsid w:val="00DC33E5"/>
    <w:rsid w:val="00DD3189"/>
    <w:rsid w:val="00DD3498"/>
    <w:rsid w:val="00DE5A45"/>
    <w:rsid w:val="00DF5F69"/>
    <w:rsid w:val="00DF5FFD"/>
    <w:rsid w:val="00E0368C"/>
    <w:rsid w:val="00E048B8"/>
    <w:rsid w:val="00E04CF4"/>
    <w:rsid w:val="00E114BA"/>
    <w:rsid w:val="00E14EFD"/>
    <w:rsid w:val="00E225D6"/>
    <w:rsid w:val="00E313BF"/>
    <w:rsid w:val="00E31E0D"/>
    <w:rsid w:val="00E332CD"/>
    <w:rsid w:val="00E3413E"/>
    <w:rsid w:val="00E35040"/>
    <w:rsid w:val="00E37368"/>
    <w:rsid w:val="00E408EB"/>
    <w:rsid w:val="00E40EA5"/>
    <w:rsid w:val="00E43613"/>
    <w:rsid w:val="00E56171"/>
    <w:rsid w:val="00E60853"/>
    <w:rsid w:val="00E66E0E"/>
    <w:rsid w:val="00E73A7F"/>
    <w:rsid w:val="00E76981"/>
    <w:rsid w:val="00E81710"/>
    <w:rsid w:val="00E81C3F"/>
    <w:rsid w:val="00E83B8E"/>
    <w:rsid w:val="00E84B7B"/>
    <w:rsid w:val="00E876C8"/>
    <w:rsid w:val="00E9215F"/>
    <w:rsid w:val="00E94100"/>
    <w:rsid w:val="00EA5D5F"/>
    <w:rsid w:val="00EB2D0C"/>
    <w:rsid w:val="00EB7F0C"/>
    <w:rsid w:val="00EC795C"/>
    <w:rsid w:val="00EE27A1"/>
    <w:rsid w:val="00EE3120"/>
    <w:rsid w:val="00EF2580"/>
    <w:rsid w:val="00EF508C"/>
    <w:rsid w:val="00EF75CC"/>
    <w:rsid w:val="00F04546"/>
    <w:rsid w:val="00F05B96"/>
    <w:rsid w:val="00F05E8B"/>
    <w:rsid w:val="00F112A2"/>
    <w:rsid w:val="00F13A9A"/>
    <w:rsid w:val="00F179E9"/>
    <w:rsid w:val="00F23B60"/>
    <w:rsid w:val="00F241E8"/>
    <w:rsid w:val="00F30A43"/>
    <w:rsid w:val="00F32614"/>
    <w:rsid w:val="00F34B9B"/>
    <w:rsid w:val="00F40055"/>
    <w:rsid w:val="00F52B41"/>
    <w:rsid w:val="00F540F4"/>
    <w:rsid w:val="00F56A25"/>
    <w:rsid w:val="00F74AC9"/>
    <w:rsid w:val="00F801B1"/>
    <w:rsid w:val="00F82467"/>
    <w:rsid w:val="00F90DFD"/>
    <w:rsid w:val="00F94E02"/>
    <w:rsid w:val="00F97708"/>
    <w:rsid w:val="00FA14D3"/>
    <w:rsid w:val="00FA2F75"/>
    <w:rsid w:val="00FA3CBF"/>
    <w:rsid w:val="00FB3B27"/>
    <w:rsid w:val="00FB6D05"/>
    <w:rsid w:val="00FE094F"/>
    <w:rsid w:val="00FE129A"/>
    <w:rsid w:val="00FE44F0"/>
    <w:rsid w:val="00FF7D32"/>
    <w:rsid w:val="00FF7E56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338D0"/>
  <w15:docId w15:val="{260FA3A7-9B63-469A-B435-9CE887E7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334"/>
    <w:pPr>
      <w:jc w:val="both"/>
    </w:pPr>
    <w:rPr>
      <w:rFonts w:ascii="Times New Roman" w:hAnsi="Times New Roman"/>
      <w:sz w:val="28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465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465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65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465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465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465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465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65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65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4657"/>
    <w:rPr>
      <w:rFonts w:eastAsiaTheme="majorEastAsia" w:cstheme="majorBidi"/>
      <w:color w:val="2F5496" w:themeColor="accent1" w:themeShade="BF"/>
      <w:sz w:val="28"/>
      <w:szCs w:val="28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4657"/>
    <w:rPr>
      <w:rFonts w:eastAsiaTheme="majorEastAsia" w:cstheme="majorBidi"/>
      <w:i/>
      <w:iCs/>
      <w:color w:val="2F5496" w:themeColor="accent1" w:themeShade="BF"/>
      <w:sz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657"/>
    <w:rPr>
      <w:rFonts w:eastAsiaTheme="majorEastAsia" w:cstheme="majorBidi"/>
      <w:color w:val="2F5496" w:themeColor="accent1" w:themeShade="BF"/>
      <w:sz w:val="28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4657"/>
    <w:rPr>
      <w:rFonts w:eastAsiaTheme="majorEastAsia" w:cstheme="majorBidi"/>
      <w:i/>
      <w:iCs/>
      <w:color w:val="595959" w:themeColor="text1" w:themeTint="A6"/>
      <w:sz w:val="28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4657"/>
    <w:rPr>
      <w:rFonts w:eastAsiaTheme="majorEastAsia" w:cstheme="majorBidi"/>
      <w:color w:val="595959" w:themeColor="text1" w:themeTint="A6"/>
      <w:sz w:val="28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4657"/>
    <w:rPr>
      <w:rFonts w:eastAsiaTheme="majorEastAsia" w:cstheme="majorBidi"/>
      <w:i/>
      <w:iCs/>
      <w:color w:val="272727" w:themeColor="text1" w:themeTint="D8"/>
      <w:sz w:val="28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4657"/>
    <w:rPr>
      <w:rFonts w:eastAsiaTheme="majorEastAsia" w:cstheme="majorBidi"/>
      <w:color w:val="272727" w:themeColor="text1" w:themeTint="D8"/>
      <w:sz w:val="28"/>
      <w:lang w:val="bg-BG"/>
    </w:rPr>
  </w:style>
  <w:style w:type="paragraph" w:styleId="Title">
    <w:name w:val="Title"/>
    <w:basedOn w:val="Normal"/>
    <w:next w:val="Normal"/>
    <w:link w:val="TitleChar"/>
    <w:uiPriority w:val="10"/>
    <w:qFormat/>
    <w:rsid w:val="00854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657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465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4657"/>
    <w:rPr>
      <w:rFonts w:eastAsiaTheme="majorEastAsia" w:cstheme="majorBidi"/>
      <w:color w:val="595959" w:themeColor="text1" w:themeTint="A6"/>
      <w:spacing w:val="15"/>
      <w:sz w:val="28"/>
      <w:szCs w:val="28"/>
      <w:lang w:val="bg-BG"/>
    </w:rPr>
  </w:style>
  <w:style w:type="paragraph" w:styleId="Quote">
    <w:name w:val="Quote"/>
    <w:basedOn w:val="Normal"/>
    <w:next w:val="Normal"/>
    <w:link w:val="QuoteChar"/>
    <w:uiPriority w:val="29"/>
    <w:qFormat/>
    <w:rsid w:val="00854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4657"/>
    <w:rPr>
      <w:rFonts w:ascii="Times New Roman" w:hAnsi="Times New Roman"/>
      <w:i/>
      <w:iCs/>
      <w:color w:val="404040" w:themeColor="text1" w:themeTint="BF"/>
      <w:sz w:val="28"/>
      <w:lang w:val="bg-BG"/>
    </w:rPr>
  </w:style>
  <w:style w:type="paragraph" w:styleId="ListParagraph">
    <w:name w:val="List Paragraph"/>
    <w:basedOn w:val="Normal"/>
    <w:uiPriority w:val="34"/>
    <w:qFormat/>
    <w:rsid w:val="008546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46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4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4657"/>
    <w:rPr>
      <w:rFonts w:ascii="Times New Roman" w:hAnsi="Times New Roman"/>
      <w:i/>
      <w:iCs/>
      <w:color w:val="2F5496" w:themeColor="accent1" w:themeShade="BF"/>
      <w:sz w:val="28"/>
      <w:lang w:val="bg-BG"/>
    </w:rPr>
  </w:style>
  <w:style w:type="character" w:styleId="IntenseReference">
    <w:name w:val="Intense Reference"/>
    <w:basedOn w:val="DefaultParagraphFont"/>
    <w:uiPriority w:val="32"/>
    <w:qFormat/>
    <w:rsid w:val="00854657"/>
    <w:rPr>
      <w:b/>
      <w:bCs/>
      <w:smallCaps/>
      <w:color w:val="2F5496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AFF"/>
    <w:rPr>
      <w:rFonts w:ascii="Tahoma" w:hAnsi="Tahoma" w:cs="Tahoma"/>
      <w:sz w:val="16"/>
      <w:szCs w:val="16"/>
      <w:lang w:val="bg-BG"/>
    </w:rPr>
  </w:style>
  <w:style w:type="character" w:styleId="PlaceholderText">
    <w:name w:val="Placeholder Text"/>
    <w:basedOn w:val="DefaultParagraphFont"/>
    <w:uiPriority w:val="99"/>
    <w:semiHidden/>
    <w:rsid w:val="00F05B96"/>
    <w:rPr>
      <w:color w:val="808080"/>
    </w:rPr>
  </w:style>
  <w:style w:type="paragraph" w:styleId="Revision">
    <w:name w:val="Revision"/>
    <w:hidden/>
    <w:uiPriority w:val="99"/>
    <w:semiHidden/>
    <w:rsid w:val="00491910"/>
    <w:pPr>
      <w:spacing w:after="0" w:line="240" w:lineRule="auto"/>
    </w:pPr>
    <w:rPr>
      <w:rFonts w:ascii="Times New Roman" w:hAnsi="Times New Roman"/>
      <w:sz w:val="2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DE0E3-FB1E-4884-8B4F-57E4794C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16</Pages>
  <Words>2467</Words>
  <Characters>14062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Katzartchev</dc:creator>
  <cp:keywords/>
  <dc:description/>
  <cp:lastModifiedBy>Bilyana Vakrilova</cp:lastModifiedBy>
  <cp:revision>5</cp:revision>
  <dcterms:created xsi:type="dcterms:W3CDTF">2025-08-13T10:32:00Z</dcterms:created>
  <dcterms:modified xsi:type="dcterms:W3CDTF">2025-08-13T13:10:00Z</dcterms:modified>
</cp:coreProperties>
</file>