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AAF1" w14:textId="77777777" w:rsidR="0022400B" w:rsidRDefault="0022400B" w:rsidP="00FF6E16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lang w:val="bg-BG"/>
        </w:rPr>
      </w:pPr>
    </w:p>
    <w:p w14:paraId="7F78BE1B" w14:textId="247721AC" w:rsidR="0072401A" w:rsidRPr="0072401A" w:rsidRDefault="0072401A" w:rsidP="0072401A">
      <w:pPr>
        <w:autoSpaceDE/>
        <w:autoSpaceDN/>
        <w:spacing w:before="100" w:beforeAutospacing="1" w:after="100" w:afterAutospacing="1" w:line="240" w:lineRule="auto"/>
        <w:ind w:firstLine="0"/>
        <w:jc w:val="center"/>
        <w:rPr>
          <w:rFonts w:ascii="Times New Roman" w:eastAsia="Calibri" w:hAnsi="Times New Roman"/>
          <w:b/>
          <w:sz w:val="28"/>
          <w:lang w:val="bg-BG" w:eastAsia="en-US"/>
        </w:rPr>
      </w:pPr>
      <w:r w:rsidRPr="0072401A">
        <w:rPr>
          <w:rFonts w:ascii="Times New Roman" w:eastAsia="Calibri" w:hAnsi="Times New Roman"/>
          <w:b/>
          <w:sz w:val="28"/>
          <w:lang w:val="bg-BG" w:eastAsia="en-US"/>
        </w:rPr>
        <w:t xml:space="preserve">Ценови ограничения са използвани рядко и </w:t>
      </w:r>
      <w:r w:rsidR="006C3A1E">
        <w:rPr>
          <w:rFonts w:ascii="Times New Roman" w:eastAsia="Calibri" w:hAnsi="Times New Roman"/>
          <w:b/>
          <w:sz w:val="28"/>
          <w:lang w:val="bg-BG" w:eastAsia="en-US"/>
        </w:rPr>
        <w:t>с малък успех</w:t>
      </w:r>
      <w:r w:rsidRPr="0072401A">
        <w:rPr>
          <w:rFonts w:ascii="Times New Roman" w:eastAsia="Calibri" w:hAnsi="Times New Roman"/>
          <w:b/>
          <w:sz w:val="28"/>
          <w:lang w:val="bg-BG" w:eastAsia="en-US"/>
        </w:rPr>
        <w:t xml:space="preserve"> при влизане в еврозоната</w:t>
      </w:r>
    </w:p>
    <w:p w14:paraId="54503273" w14:textId="77777777" w:rsidR="001B4CAF" w:rsidRPr="001B4CAF" w:rsidRDefault="001B4CAF" w:rsidP="001B4CAF">
      <w:pPr>
        <w:autoSpaceDE/>
        <w:autoSpaceDN/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lang w:val="bg-BG" w:eastAsia="en-US"/>
        </w:rPr>
      </w:pPr>
      <w:r w:rsidRPr="001B4CAF">
        <w:rPr>
          <w:rFonts w:ascii="Times New Roman" w:eastAsia="Calibri" w:hAnsi="Times New Roman"/>
          <w:sz w:val="24"/>
          <w:lang w:val="bg-BG" w:eastAsia="en-US"/>
        </w:rPr>
        <w:t xml:space="preserve">Във всички държави, сменили националната валута с евро, политиците се изправят пред един и същ страх: повишаване на цените и спекула. Затова насоките на ЕС насърчават правителствата да съчетават показване на двойни цени с видими мерки за защита на потребителите. Твърди законови ограничения на цените се използват рядко, но меки- доброволни или </w:t>
      </w:r>
      <w:proofErr w:type="spellStart"/>
      <w:r w:rsidRPr="001B4CAF">
        <w:rPr>
          <w:rFonts w:ascii="Times New Roman" w:eastAsia="Calibri" w:hAnsi="Times New Roman"/>
          <w:sz w:val="24"/>
          <w:lang w:val="bg-BG" w:eastAsia="en-US"/>
        </w:rPr>
        <w:t>репутационни</w:t>
      </w:r>
      <w:proofErr w:type="spellEnd"/>
      <w:r w:rsidRPr="001B4CAF">
        <w:rPr>
          <w:rFonts w:ascii="Times New Roman" w:eastAsia="Calibri" w:hAnsi="Times New Roman"/>
          <w:sz w:val="24"/>
          <w:lang w:val="bg-BG" w:eastAsia="en-US"/>
        </w:rPr>
        <w:t xml:space="preserve"> ограничения, са почти универсални.</w:t>
      </w:r>
    </w:p>
    <w:p w14:paraId="23AC367A" w14:textId="6BFA8433" w:rsidR="001B4CAF" w:rsidRPr="001B4CAF" w:rsidRDefault="001B4CAF" w:rsidP="001B4CAF">
      <w:pPr>
        <w:autoSpaceDE/>
        <w:autoSpaceDN/>
        <w:spacing w:before="100" w:beforeAutospacing="1" w:after="100" w:afterAutospacing="1" w:line="240" w:lineRule="auto"/>
        <w:rPr>
          <w:rFonts w:ascii="Times New Roman" w:eastAsia="Calibri" w:hAnsi="Times New Roman"/>
          <w:b/>
          <w:i/>
          <w:sz w:val="24"/>
          <w:lang w:val="bg-BG" w:eastAsia="en-US"/>
        </w:rPr>
      </w:pPr>
      <w:r w:rsidRPr="001B4CAF">
        <w:rPr>
          <w:rFonts w:ascii="Times New Roman" w:eastAsia="Calibri" w:hAnsi="Times New Roman"/>
          <w:b/>
          <w:i/>
          <w:sz w:val="24"/>
          <w:lang w:val="bg-BG" w:eastAsia="en-US"/>
        </w:rPr>
        <w:t xml:space="preserve">Какви са позитивите и негативите от приемане на твърди ограничения? </w:t>
      </w:r>
    </w:p>
    <w:p w14:paraId="025DAF46" w14:textId="04AE9B0E" w:rsidR="001B4CAF" w:rsidRPr="001B4CAF" w:rsidRDefault="001B4CAF" w:rsidP="001B4CAF">
      <w:pPr>
        <w:autoSpaceDE/>
        <w:autoSpaceDN/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lang w:val="bg-BG" w:eastAsia="en-US"/>
        </w:rPr>
      </w:pPr>
      <w:r w:rsidRPr="001B4CAF">
        <w:rPr>
          <w:rFonts w:ascii="Times New Roman" w:eastAsia="Calibri" w:hAnsi="Times New Roman"/>
          <w:i/>
          <w:sz w:val="24"/>
          <w:lang w:val="bg-BG" w:eastAsia="en-US"/>
        </w:rPr>
        <w:t>Позитиви</w:t>
      </w:r>
      <w:r w:rsidRPr="001B4CAF">
        <w:rPr>
          <w:rFonts w:ascii="Times New Roman" w:eastAsia="Calibri" w:hAnsi="Times New Roman"/>
          <w:sz w:val="24"/>
          <w:lang w:val="bg-BG" w:eastAsia="en-US"/>
        </w:rPr>
        <w:t>: Правителството демонстрира активност и отговорност. Тушира се временно социално напрежение и стоките с тавани на надценките стават по-достъпни за бедните слоеве от населението. Частично се ограничава спекулата за тези стоки и временно за тях се стабилизира инфлацията.</w:t>
      </w:r>
    </w:p>
    <w:p w14:paraId="50BC62DD" w14:textId="5EBE190C" w:rsidR="001B4CAF" w:rsidRDefault="001B4CAF" w:rsidP="001B4CAF">
      <w:pPr>
        <w:autoSpaceDE/>
        <w:autoSpaceDN/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lang w:val="bg-BG" w:eastAsia="en-US"/>
        </w:rPr>
      </w:pPr>
      <w:r w:rsidRPr="001B4CAF">
        <w:rPr>
          <w:rFonts w:ascii="Times New Roman" w:eastAsia="Calibri" w:hAnsi="Times New Roman"/>
          <w:i/>
          <w:sz w:val="24"/>
          <w:lang w:val="bg-BG" w:eastAsia="en-US"/>
        </w:rPr>
        <w:t>Негативи</w:t>
      </w:r>
      <w:r w:rsidRPr="001B4CAF">
        <w:rPr>
          <w:rFonts w:ascii="Times New Roman" w:eastAsia="Calibri" w:hAnsi="Times New Roman"/>
          <w:sz w:val="24"/>
          <w:lang w:val="bg-BG" w:eastAsia="en-US"/>
        </w:rPr>
        <w:t>:</w:t>
      </w:r>
      <w:r>
        <w:rPr>
          <w:rFonts w:ascii="Times New Roman" w:eastAsia="Calibri" w:hAnsi="Times New Roman"/>
          <w:sz w:val="24"/>
          <w:lang w:val="bg-BG" w:eastAsia="en-US"/>
        </w:rPr>
        <w:t xml:space="preserve"> </w:t>
      </w:r>
      <w:r w:rsidRPr="001B4CAF">
        <w:rPr>
          <w:rFonts w:ascii="Times New Roman" w:eastAsia="Calibri" w:hAnsi="Times New Roman"/>
          <w:sz w:val="24"/>
          <w:lang w:val="bg-BG" w:eastAsia="en-US"/>
        </w:rPr>
        <w:t>Производителите започват постепенно да губят интерес от производството на тези стоки, в резултат на което се получава недостиг и оформяне на сив сектор; Инвестиционната активност намалява– губи се мотивация за качество при доставките и за иновации в секторите с ценови ограничения. Често пъти се създава и информационен хаос, породен от слухове за цени и наличности. Увеличават се разходите за администрация и контрол.</w:t>
      </w:r>
    </w:p>
    <w:p w14:paraId="7572BF51" w14:textId="77777777" w:rsidR="0072401A" w:rsidRPr="0072401A" w:rsidRDefault="0072401A" w:rsidP="00385E9E">
      <w:pPr>
        <w:autoSpaceDE/>
        <w:autoSpaceDN/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sz w:val="24"/>
          <w:lang w:val="bg-BG" w:eastAsia="en-US"/>
        </w:rPr>
        <w:t>Преглед на основните прилагани инструменти и известните им икономически ефекти:</w:t>
      </w: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1560"/>
        <w:gridCol w:w="2693"/>
        <w:gridCol w:w="2313"/>
        <w:gridCol w:w="2223"/>
        <w:gridCol w:w="2552"/>
      </w:tblGrid>
      <w:tr w:rsidR="0072401A" w:rsidRPr="0072401A" w14:paraId="227A1252" w14:textId="77777777" w:rsidTr="0072401A">
        <w:tc>
          <w:tcPr>
            <w:tcW w:w="1560" w:type="dxa"/>
            <w:vAlign w:val="center"/>
          </w:tcPr>
          <w:p w14:paraId="4E226AFB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b/>
                <w:sz w:val="22"/>
                <w:lang w:val="bg-BG" w:eastAsia="en-US"/>
              </w:rPr>
              <w:t>Държава и дата на въвеждане на еврото</w:t>
            </w:r>
          </w:p>
        </w:tc>
        <w:tc>
          <w:tcPr>
            <w:tcW w:w="2693" w:type="dxa"/>
            <w:vAlign w:val="center"/>
          </w:tcPr>
          <w:p w14:paraId="196EF009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b/>
                <w:sz w:val="22"/>
                <w:lang w:val="bg-BG" w:eastAsia="en-US"/>
              </w:rPr>
              <w:t>Вид административна мярка</w:t>
            </w:r>
          </w:p>
        </w:tc>
        <w:tc>
          <w:tcPr>
            <w:tcW w:w="2313" w:type="dxa"/>
            <w:vAlign w:val="center"/>
          </w:tcPr>
          <w:p w14:paraId="4FFB3C5F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b/>
                <w:sz w:val="22"/>
                <w:lang w:val="bg-BG" w:eastAsia="en-US"/>
              </w:rPr>
              <w:t>Как е работила</w:t>
            </w:r>
          </w:p>
        </w:tc>
        <w:tc>
          <w:tcPr>
            <w:tcW w:w="2223" w:type="dxa"/>
            <w:vAlign w:val="center"/>
          </w:tcPr>
          <w:p w14:paraId="7447DDB4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b/>
                <w:sz w:val="22"/>
                <w:lang w:val="bg-BG" w:eastAsia="en-US"/>
              </w:rPr>
              <w:t>Измерен еднократен ефект върху инфлацията</w:t>
            </w:r>
          </w:p>
        </w:tc>
        <w:tc>
          <w:tcPr>
            <w:tcW w:w="2552" w:type="dxa"/>
            <w:vAlign w:val="center"/>
          </w:tcPr>
          <w:p w14:paraId="04113064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b/>
                <w:sz w:val="22"/>
                <w:lang w:val="bg-BG" w:eastAsia="en-US"/>
              </w:rPr>
              <w:t>Качествен резултат</w:t>
            </w:r>
          </w:p>
        </w:tc>
      </w:tr>
      <w:tr w:rsidR="0072401A" w:rsidRPr="0072401A" w14:paraId="6A090EFB" w14:textId="77777777" w:rsidTr="0072401A">
        <w:tc>
          <w:tcPr>
            <w:tcW w:w="1560" w:type="dxa"/>
          </w:tcPr>
          <w:p w14:paraId="401D8AC9" w14:textId="77777777" w:rsidR="006A21D3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Франция </w:t>
            </w:r>
          </w:p>
          <w:p w14:paraId="4862274C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2002</w:t>
            </w:r>
          </w:p>
        </w:tc>
        <w:tc>
          <w:tcPr>
            <w:tcW w:w="2693" w:type="dxa"/>
          </w:tcPr>
          <w:p w14:paraId="788A661F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Големите вериги за хранителни стоки приеха </w:t>
            </w:r>
            <w:proofErr w:type="spellStart"/>
            <w:r w:rsidRPr="0072401A">
              <w:rPr>
                <w:rFonts w:ascii="Times New Roman" w:hAnsi="Times New Roman"/>
                <w:sz w:val="22"/>
                <w:lang w:val="bg-BG" w:eastAsia="en-US"/>
              </w:rPr>
              <w:t>самоналожено</w:t>
            </w:r>
            <w:proofErr w:type="spellEnd"/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 замразяване на цени от средата на септември 2001 до 31 март 2002</w:t>
            </w:r>
          </w:p>
        </w:tc>
        <w:tc>
          <w:tcPr>
            <w:tcW w:w="2313" w:type="dxa"/>
          </w:tcPr>
          <w:p w14:paraId="707CB975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Публично обещание; правителството публикува „черен списък“ на нарушителите</w:t>
            </w:r>
          </w:p>
        </w:tc>
        <w:tc>
          <w:tcPr>
            <w:tcW w:w="2223" w:type="dxa"/>
          </w:tcPr>
          <w:p w14:paraId="7BE3A3A1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Евростат изчислява ефект от 0,0–0,16 пр. пункта върху инфлацията за януари 2002 г.</w:t>
            </w:r>
          </w:p>
        </w:tc>
        <w:tc>
          <w:tcPr>
            <w:tcW w:w="2552" w:type="dxa"/>
          </w:tcPr>
          <w:p w14:paraId="67094781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Поддържа ниска инфлация, но ресторантите все пак повишават цените, а обществото въвежда термина “</w:t>
            </w:r>
            <w:proofErr w:type="spellStart"/>
            <w:r w:rsidRPr="0072401A">
              <w:rPr>
                <w:rFonts w:ascii="Times New Roman" w:hAnsi="Times New Roman"/>
                <w:sz w:val="22"/>
                <w:lang w:val="bg-BG" w:eastAsia="en-US"/>
              </w:rPr>
              <w:t>Teuro</w:t>
            </w:r>
            <w:proofErr w:type="spellEnd"/>
            <w:r w:rsidRPr="0072401A">
              <w:rPr>
                <w:rFonts w:ascii="Times New Roman" w:hAnsi="Times New Roman"/>
                <w:sz w:val="22"/>
                <w:lang w:val="bg-BG" w:eastAsia="en-US"/>
              </w:rPr>
              <w:t>”(„скъпо евро“)</w:t>
            </w:r>
          </w:p>
        </w:tc>
      </w:tr>
      <w:tr w:rsidR="0072401A" w:rsidRPr="0072401A" w14:paraId="0A6B26E5" w14:textId="77777777" w:rsidTr="0072401A">
        <w:tc>
          <w:tcPr>
            <w:tcW w:w="1560" w:type="dxa"/>
          </w:tcPr>
          <w:p w14:paraId="78909B55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Финландия 2002</w:t>
            </w:r>
          </w:p>
        </w:tc>
        <w:tc>
          <w:tcPr>
            <w:tcW w:w="2693" w:type="dxa"/>
          </w:tcPr>
          <w:p w14:paraId="5EA3F826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Законово закръгляне на касовите суми: всички плащания в брой се закръглят до най-близките €0,05 (1- и 2-центовите монети не са в обращение)</w:t>
            </w:r>
          </w:p>
        </w:tc>
        <w:tc>
          <w:tcPr>
            <w:tcW w:w="2313" w:type="dxa"/>
          </w:tcPr>
          <w:p w14:paraId="5373B5C7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Премахва стимула за поставяне на „странни“ цени</w:t>
            </w:r>
          </w:p>
        </w:tc>
        <w:tc>
          <w:tcPr>
            <w:tcW w:w="2223" w:type="dxa"/>
          </w:tcPr>
          <w:p w14:paraId="19116352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Няма измерим ефект; статистически неутрално закръгляне</w:t>
            </w:r>
          </w:p>
        </w:tc>
        <w:tc>
          <w:tcPr>
            <w:tcW w:w="2552" w:type="dxa"/>
          </w:tcPr>
          <w:p w14:paraId="4B1BF3F7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Правилото действа и днес; по-късно възприето от Нидерландия, Белгия, Ирландия</w:t>
            </w:r>
          </w:p>
        </w:tc>
      </w:tr>
      <w:tr w:rsidR="0072401A" w:rsidRPr="0072401A" w14:paraId="06E92C01" w14:textId="77777777" w:rsidTr="0072401A">
        <w:tc>
          <w:tcPr>
            <w:tcW w:w="1560" w:type="dxa"/>
          </w:tcPr>
          <w:p w14:paraId="4BBFE2B4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Словения 2007</w:t>
            </w:r>
          </w:p>
        </w:tc>
        <w:tc>
          <w:tcPr>
            <w:tcW w:w="2693" w:type="dxa"/>
          </w:tcPr>
          <w:p w14:paraId="1B68E01F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(i) Схема </w:t>
            </w:r>
            <w:proofErr w:type="spellStart"/>
            <w:r w:rsidRPr="0072401A">
              <w:rPr>
                <w:rFonts w:ascii="Times New Roman" w:hAnsi="Times New Roman"/>
                <w:sz w:val="22"/>
                <w:lang w:val="bg-BG" w:eastAsia="en-US"/>
              </w:rPr>
              <w:t>PriceWatch</w:t>
            </w:r>
            <w:proofErr w:type="spellEnd"/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 от Асоциацията на потребителите; </w:t>
            </w:r>
          </w:p>
          <w:p w14:paraId="216AB8BD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(ii) правителствено „Справедливо ценово споразумение“ с търговците</w:t>
            </w:r>
          </w:p>
        </w:tc>
        <w:tc>
          <w:tcPr>
            <w:tcW w:w="2313" w:type="dxa"/>
          </w:tcPr>
          <w:p w14:paraId="163DFC56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Над 100 продукта следени; фирми с повишения &gt;6% бяха публично посочвани онлайн</w:t>
            </w:r>
          </w:p>
        </w:tc>
        <w:tc>
          <w:tcPr>
            <w:tcW w:w="2223" w:type="dxa"/>
          </w:tcPr>
          <w:p w14:paraId="63062244" w14:textId="7DBC584D" w:rsidR="0072401A" w:rsidRPr="0072401A" w:rsidRDefault="00DC17D5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>
              <w:rPr>
                <w:rFonts w:ascii="Times New Roman" w:hAnsi="Times New Roman"/>
                <w:sz w:val="22"/>
                <w:lang w:val="bg-BG" w:eastAsia="en-US"/>
              </w:rPr>
              <w:t>О</w:t>
            </w:r>
            <w:r w:rsidR="0072401A" w:rsidRPr="0072401A">
              <w:rPr>
                <w:rFonts w:ascii="Times New Roman" w:hAnsi="Times New Roman"/>
                <w:sz w:val="22"/>
                <w:lang w:val="bg-BG" w:eastAsia="en-US"/>
              </w:rPr>
              <w:t>бщ ефект върху инфлацията ≈ 0,2–0,3 пр. пункта</w:t>
            </w:r>
          </w:p>
        </w:tc>
        <w:tc>
          <w:tcPr>
            <w:tcW w:w="2552" w:type="dxa"/>
          </w:tcPr>
          <w:p w14:paraId="7D5D7F4A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Реалните повишения са малки, но 83% от словенците вярват, че цените са скочили</w:t>
            </w:r>
          </w:p>
        </w:tc>
      </w:tr>
      <w:tr w:rsidR="0072401A" w:rsidRPr="0072401A" w14:paraId="50907DF9" w14:textId="77777777" w:rsidTr="0072401A">
        <w:tc>
          <w:tcPr>
            <w:tcW w:w="1560" w:type="dxa"/>
          </w:tcPr>
          <w:p w14:paraId="3A49C80E" w14:textId="77777777" w:rsidR="0072401A" w:rsidRPr="006A21D3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lastRenderedPageBreak/>
              <w:t xml:space="preserve">Кипър </w:t>
            </w:r>
          </w:p>
          <w:p w14:paraId="3B8C8293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2008</w:t>
            </w:r>
          </w:p>
        </w:tc>
        <w:tc>
          <w:tcPr>
            <w:tcW w:w="2693" w:type="dxa"/>
          </w:tcPr>
          <w:p w14:paraId="187A11CE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Законова „Харта за справедливо ценообразуване“– над 7000 фирми подписват; пет евро-наблюдателници следят двойните цени</w:t>
            </w:r>
          </w:p>
        </w:tc>
        <w:tc>
          <w:tcPr>
            <w:tcW w:w="2313" w:type="dxa"/>
          </w:tcPr>
          <w:p w14:paraId="1E09BB7E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Нарушенията могат да водят до глоби; фирмите лепят стикери за съответствие</w:t>
            </w:r>
          </w:p>
        </w:tc>
        <w:tc>
          <w:tcPr>
            <w:tcW w:w="2223" w:type="dxa"/>
          </w:tcPr>
          <w:p w14:paraId="766A9854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Финансовото министерство оценява ефект от ≈ 0,3 пр. пункта</w:t>
            </w:r>
          </w:p>
        </w:tc>
        <w:tc>
          <w:tcPr>
            <w:tcW w:w="2552" w:type="dxa"/>
          </w:tcPr>
          <w:p w14:paraId="7262BA43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Малко глоби; доверието на потребителите се повишава</w:t>
            </w:r>
          </w:p>
        </w:tc>
      </w:tr>
      <w:tr w:rsidR="0072401A" w:rsidRPr="0072401A" w14:paraId="78B5117C" w14:textId="77777777" w:rsidTr="0072401A">
        <w:tc>
          <w:tcPr>
            <w:tcW w:w="1560" w:type="dxa"/>
          </w:tcPr>
          <w:p w14:paraId="523D8702" w14:textId="77777777" w:rsidR="0072401A" w:rsidRPr="006A21D3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Малта </w:t>
            </w:r>
          </w:p>
          <w:p w14:paraId="1D71317E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2008</w:t>
            </w:r>
          </w:p>
        </w:tc>
        <w:tc>
          <w:tcPr>
            <w:tcW w:w="2693" w:type="dxa"/>
          </w:tcPr>
          <w:p w14:paraId="1A84797B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Инициатива FAIR price + Споразумения за ценова стабилност с вносители</w:t>
            </w:r>
          </w:p>
        </w:tc>
        <w:tc>
          <w:tcPr>
            <w:tcW w:w="2313" w:type="dxa"/>
          </w:tcPr>
          <w:p w14:paraId="67351AD4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6500 фирми (≈ 80% от обектите) обещават да не повишават цени заради конверсията</w:t>
            </w:r>
          </w:p>
        </w:tc>
        <w:tc>
          <w:tcPr>
            <w:tcW w:w="2223" w:type="dxa"/>
          </w:tcPr>
          <w:p w14:paraId="7B532B3A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Евростат отчита допълнителна инфлация от ~0,2 пр. пункта</w:t>
            </w:r>
          </w:p>
        </w:tc>
        <w:tc>
          <w:tcPr>
            <w:tcW w:w="2552" w:type="dxa"/>
          </w:tcPr>
          <w:p w14:paraId="40AE45B5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Моделът по-късно възприет от Латвия и Литва</w:t>
            </w:r>
          </w:p>
        </w:tc>
      </w:tr>
      <w:tr w:rsidR="0072401A" w:rsidRPr="0072401A" w14:paraId="77CB4E09" w14:textId="77777777" w:rsidTr="0072401A">
        <w:tc>
          <w:tcPr>
            <w:tcW w:w="1560" w:type="dxa"/>
          </w:tcPr>
          <w:p w14:paraId="556CAEFE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Словакия 2009</w:t>
            </w:r>
          </w:p>
        </w:tc>
        <w:tc>
          <w:tcPr>
            <w:tcW w:w="2693" w:type="dxa"/>
          </w:tcPr>
          <w:p w14:paraId="4582244F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Етичен кодекс за търговия + ежедневен мониторинг от Търговска инспекция</w:t>
            </w:r>
          </w:p>
        </w:tc>
        <w:tc>
          <w:tcPr>
            <w:tcW w:w="2313" w:type="dxa"/>
          </w:tcPr>
          <w:p w14:paraId="2CB7C2F7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Фирмите получават синьо евро-лого; инспекторите могат да налагат глоби</w:t>
            </w:r>
          </w:p>
        </w:tc>
        <w:tc>
          <w:tcPr>
            <w:tcW w:w="2223" w:type="dxa"/>
          </w:tcPr>
          <w:p w14:paraId="20BF5686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Националната банка изчислява ефект под 0,2 пр. пункта</w:t>
            </w:r>
          </w:p>
        </w:tc>
        <w:tc>
          <w:tcPr>
            <w:tcW w:w="2552" w:type="dxa"/>
          </w:tcPr>
          <w:p w14:paraId="67670F85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Минимален реален ефект; разликата между възприятие и реалност по-малка от тази през 2002</w:t>
            </w:r>
          </w:p>
        </w:tc>
      </w:tr>
      <w:tr w:rsidR="0072401A" w:rsidRPr="0072401A" w14:paraId="55181E1F" w14:textId="77777777" w:rsidTr="0072401A">
        <w:tc>
          <w:tcPr>
            <w:tcW w:w="1560" w:type="dxa"/>
          </w:tcPr>
          <w:p w14:paraId="4D7D9E9D" w14:textId="77777777" w:rsidR="006A21D3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Естония </w:t>
            </w:r>
          </w:p>
          <w:p w14:paraId="673AC3E0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2011</w:t>
            </w:r>
          </w:p>
        </w:tc>
        <w:tc>
          <w:tcPr>
            <w:tcW w:w="2693" w:type="dxa"/>
          </w:tcPr>
          <w:p w14:paraId="54795638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Споразумение за добри практики при показване на цени; </w:t>
            </w:r>
            <w:proofErr w:type="spellStart"/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Антимонополният</w:t>
            </w:r>
            <w:proofErr w:type="spellEnd"/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 орган проверява двойните цени</w:t>
            </w:r>
          </w:p>
        </w:tc>
        <w:tc>
          <w:tcPr>
            <w:tcW w:w="2313" w:type="dxa"/>
          </w:tcPr>
          <w:p w14:paraId="4DED871F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Публичен „бял списък“ на съобразилите се фирми</w:t>
            </w:r>
          </w:p>
        </w:tc>
        <w:tc>
          <w:tcPr>
            <w:tcW w:w="2223" w:type="dxa"/>
          </w:tcPr>
          <w:p w14:paraId="2C6595DE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Евростат: 0,2–0,3 пр. пункта през първото тримесечие на 2011</w:t>
            </w:r>
          </w:p>
        </w:tc>
        <w:tc>
          <w:tcPr>
            <w:tcW w:w="2552" w:type="dxa"/>
          </w:tcPr>
          <w:p w14:paraId="503324D0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Проблемите с ценовото възприятие са краткотрайни</w:t>
            </w:r>
          </w:p>
        </w:tc>
      </w:tr>
      <w:tr w:rsidR="0072401A" w:rsidRPr="0072401A" w14:paraId="701F79E1" w14:textId="77777777" w:rsidTr="0072401A">
        <w:tc>
          <w:tcPr>
            <w:tcW w:w="1560" w:type="dxa"/>
          </w:tcPr>
          <w:p w14:paraId="19486DF2" w14:textId="77777777" w:rsidR="0072401A" w:rsidRPr="006A21D3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Латвия </w:t>
            </w:r>
          </w:p>
          <w:p w14:paraId="0AAE98DC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2014</w:t>
            </w:r>
          </w:p>
        </w:tc>
        <w:tc>
          <w:tcPr>
            <w:tcW w:w="2693" w:type="dxa"/>
          </w:tcPr>
          <w:p w14:paraId="672AEF62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Кампания „Справедлив </w:t>
            </w:r>
            <w:proofErr w:type="spellStart"/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въвеждач</w:t>
            </w:r>
            <w:proofErr w:type="spellEnd"/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 на еврото“ – доброволно обещание, лого, гореща линия + мониторинг на цените</w:t>
            </w:r>
          </w:p>
        </w:tc>
        <w:tc>
          <w:tcPr>
            <w:tcW w:w="2313" w:type="dxa"/>
          </w:tcPr>
          <w:p w14:paraId="752E7D08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Над 3000 фирми се присъединяват преди еврото</w:t>
            </w:r>
          </w:p>
        </w:tc>
        <w:tc>
          <w:tcPr>
            <w:tcW w:w="2223" w:type="dxa"/>
          </w:tcPr>
          <w:p w14:paraId="137F9478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ЕК заключава, че ефектът е „много ограничен“, ~0,1–0,2 пр. пункта</w:t>
            </w:r>
          </w:p>
        </w:tc>
        <w:tc>
          <w:tcPr>
            <w:tcW w:w="2552" w:type="dxa"/>
          </w:tcPr>
          <w:p w14:paraId="206F7D1D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Кампанията е комуникационен успех; възприета от Литва</w:t>
            </w:r>
          </w:p>
        </w:tc>
      </w:tr>
      <w:tr w:rsidR="0072401A" w:rsidRPr="0072401A" w14:paraId="0D525D17" w14:textId="77777777" w:rsidTr="0072401A">
        <w:tc>
          <w:tcPr>
            <w:tcW w:w="1560" w:type="dxa"/>
          </w:tcPr>
          <w:p w14:paraId="02939D5C" w14:textId="77777777" w:rsidR="0072401A" w:rsidRPr="006A21D3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Литва </w:t>
            </w:r>
          </w:p>
          <w:p w14:paraId="74088632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2015</w:t>
            </w:r>
          </w:p>
        </w:tc>
        <w:tc>
          <w:tcPr>
            <w:tcW w:w="2693" w:type="dxa"/>
          </w:tcPr>
          <w:p w14:paraId="061119B7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Меморандум за добри бизнес практики (стикер „справедливо ценообразуване“)</w:t>
            </w:r>
          </w:p>
        </w:tc>
        <w:tc>
          <w:tcPr>
            <w:tcW w:w="2313" w:type="dxa"/>
          </w:tcPr>
          <w:p w14:paraId="59143B19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Банки и търговци поемат ангажимент да не злоупотребяват; инспектори проверяват</w:t>
            </w:r>
          </w:p>
        </w:tc>
        <w:tc>
          <w:tcPr>
            <w:tcW w:w="2223" w:type="dxa"/>
          </w:tcPr>
          <w:p w14:paraId="782C2211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 xml:space="preserve">Централната банка изчислява ефект от 0,11 пр. пункта върху </w:t>
            </w:r>
            <w:r w:rsidR="00AA608D">
              <w:rPr>
                <w:rFonts w:ascii="Times New Roman" w:hAnsi="Times New Roman"/>
                <w:sz w:val="22"/>
                <w:lang w:val="bg-BG" w:eastAsia="en-US"/>
              </w:rPr>
              <w:t>инфлацията</w:t>
            </w:r>
          </w:p>
        </w:tc>
        <w:tc>
          <w:tcPr>
            <w:tcW w:w="2552" w:type="dxa"/>
          </w:tcPr>
          <w:p w14:paraId="5023ED45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Общественото доверие нараства; по-слаба инфлационна паника от 2002</w:t>
            </w:r>
          </w:p>
        </w:tc>
      </w:tr>
      <w:tr w:rsidR="0072401A" w:rsidRPr="0072401A" w14:paraId="2F33C751" w14:textId="77777777" w:rsidTr="0072401A">
        <w:tc>
          <w:tcPr>
            <w:tcW w:w="1560" w:type="dxa"/>
          </w:tcPr>
          <w:p w14:paraId="2BC9F9D9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Хърватия 2023</w:t>
            </w:r>
          </w:p>
        </w:tc>
        <w:tc>
          <w:tcPr>
            <w:tcW w:w="2693" w:type="dxa"/>
          </w:tcPr>
          <w:p w14:paraId="7E82C009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Задължителни тавани на цените(олио, мляко, брашно, захар, пиле и свинско) септ. 2022 – март 2023 + дълъг период на двойно показване на цени и гореща линия</w:t>
            </w:r>
          </w:p>
        </w:tc>
        <w:tc>
          <w:tcPr>
            <w:tcW w:w="2313" w:type="dxa"/>
          </w:tcPr>
          <w:p w14:paraId="790E2109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Законово определени максимални цени; етикети показват обхванатите стоки</w:t>
            </w:r>
          </w:p>
        </w:tc>
        <w:tc>
          <w:tcPr>
            <w:tcW w:w="2223" w:type="dxa"/>
          </w:tcPr>
          <w:p w14:paraId="2E165B92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Отчита се „лек“ ефект от еврото при услугите; няма масово повишение на инфлацията</w:t>
            </w:r>
          </w:p>
        </w:tc>
        <w:tc>
          <w:tcPr>
            <w:tcW w:w="2552" w:type="dxa"/>
          </w:tcPr>
          <w:p w14:paraId="2AC3A8E9" w14:textId="77777777" w:rsidR="0072401A" w:rsidRPr="0072401A" w:rsidRDefault="0072401A" w:rsidP="0072401A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lang w:val="bg-BG" w:eastAsia="en-US"/>
              </w:rPr>
            </w:pPr>
            <w:r w:rsidRPr="0072401A">
              <w:rPr>
                <w:rFonts w:ascii="Times New Roman" w:hAnsi="Times New Roman"/>
                <w:sz w:val="22"/>
                <w:lang w:val="bg-BG" w:eastAsia="en-US"/>
              </w:rPr>
              <w:t>Таваните защитиха потребителската кошница по време на по-широка енергийна криза</w:t>
            </w:r>
          </w:p>
        </w:tc>
      </w:tr>
    </w:tbl>
    <w:p w14:paraId="70722BA4" w14:textId="77777777" w:rsidR="0072401A" w:rsidRPr="0072401A" w:rsidRDefault="0072401A" w:rsidP="0072401A">
      <w:pPr>
        <w:autoSpaceDE/>
        <w:autoSpaceDN/>
        <w:spacing w:after="160" w:line="259" w:lineRule="auto"/>
        <w:ind w:firstLine="0"/>
        <w:rPr>
          <w:rFonts w:ascii="Times New Roman" w:eastAsia="Calibri" w:hAnsi="Times New Roman"/>
          <w:sz w:val="24"/>
          <w:lang w:val="bg-BG" w:eastAsia="en-US"/>
        </w:rPr>
      </w:pPr>
    </w:p>
    <w:p w14:paraId="67011BC6" w14:textId="77777777" w:rsidR="0072401A" w:rsidRPr="0072401A" w:rsidRDefault="0072401A" w:rsidP="0072401A">
      <w:pPr>
        <w:autoSpaceDE/>
        <w:autoSpaceDN/>
        <w:spacing w:after="160" w:line="259" w:lineRule="auto"/>
        <w:ind w:firstLine="0"/>
        <w:rPr>
          <w:rFonts w:ascii="Times New Roman" w:eastAsia="Calibri" w:hAnsi="Times New Roman"/>
          <w:b/>
          <w:sz w:val="24"/>
          <w:lang w:val="bg-BG" w:eastAsia="en-US"/>
        </w:rPr>
      </w:pPr>
      <w:r w:rsidRPr="0072401A">
        <w:rPr>
          <w:rFonts w:ascii="Times New Roman" w:eastAsia="Calibri" w:hAnsi="Times New Roman"/>
          <w:b/>
          <w:sz w:val="24"/>
          <w:lang w:val="bg-BG" w:eastAsia="en-US"/>
        </w:rPr>
        <w:t>Какво показва този опит?</w:t>
      </w:r>
    </w:p>
    <w:p w14:paraId="30937C08" w14:textId="77777777" w:rsidR="0072401A" w:rsidRPr="0072401A" w:rsidRDefault="0072401A" w:rsidP="00385E9E">
      <w:pPr>
        <w:numPr>
          <w:ilvl w:val="0"/>
          <w:numId w:val="9"/>
        </w:numPr>
        <w:autoSpaceDE/>
        <w:autoSpaceDN/>
        <w:spacing w:after="160" w:line="259" w:lineRule="auto"/>
        <w:ind w:left="709" w:hanging="425"/>
        <w:contextualSpacing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i/>
          <w:sz w:val="24"/>
          <w:lang w:val="bg-BG" w:eastAsia="en-US"/>
        </w:rPr>
        <w:t>Твърдите тавани на цени са изключение</w:t>
      </w:r>
      <w:r w:rsidRPr="0072401A">
        <w:rPr>
          <w:rFonts w:ascii="Times New Roman" w:eastAsia="Calibri" w:hAnsi="Times New Roman"/>
          <w:sz w:val="24"/>
          <w:lang w:val="bg-BG" w:eastAsia="en-US"/>
        </w:rPr>
        <w:t>. Само Хърватия – в условия на висока глобална инфлация – използва ясни законови тавани, и то върху ограничен брой основни храни.</w:t>
      </w:r>
    </w:p>
    <w:p w14:paraId="250A1779" w14:textId="77777777" w:rsidR="0072401A" w:rsidRPr="0072401A" w:rsidRDefault="0072401A" w:rsidP="00385E9E">
      <w:pPr>
        <w:numPr>
          <w:ilvl w:val="0"/>
          <w:numId w:val="9"/>
        </w:numPr>
        <w:autoSpaceDE/>
        <w:autoSpaceDN/>
        <w:spacing w:after="160" w:line="259" w:lineRule="auto"/>
        <w:ind w:left="709" w:hanging="425"/>
        <w:contextualSpacing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i/>
          <w:sz w:val="24"/>
          <w:lang w:val="bg-BG" w:eastAsia="en-US"/>
        </w:rPr>
        <w:t>Меките инструменти са стандарт</w:t>
      </w:r>
      <w:r w:rsidRPr="0072401A">
        <w:rPr>
          <w:rFonts w:ascii="Times New Roman" w:eastAsia="Calibri" w:hAnsi="Times New Roman"/>
          <w:sz w:val="24"/>
          <w:lang w:val="bg-BG" w:eastAsia="en-US"/>
        </w:rPr>
        <w:t>:</w:t>
      </w:r>
    </w:p>
    <w:p w14:paraId="0F334B43" w14:textId="77777777" w:rsidR="0072401A" w:rsidRPr="0072401A" w:rsidRDefault="0072401A" w:rsidP="00385E9E">
      <w:pPr>
        <w:numPr>
          <w:ilvl w:val="0"/>
          <w:numId w:val="10"/>
        </w:numPr>
        <w:autoSpaceDE/>
        <w:autoSpaceDN/>
        <w:spacing w:after="160" w:line="259" w:lineRule="auto"/>
        <w:ind w:hanging="371"/>
        <w:contextualSpacing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sz w:val="24"/>
          <w:lang w:val="bg-BG" w:eastAsia="en-US"/>
        </w:rPr>
        <w:t>Двойно показване на цени (обикновено 4–12 месеца) осигурява прозрачност при конвертиране.</w:t>
      </w:r>
    </w:p>
    <w:p w14:paraId="3DDAF5B3" w14:textId="77777777" w:rsidR="0072401A" w:rsidRPr="0072401A" w:rsidRDefault="0072401A" w:rsidP="00385E9E">
      <w:pPr>
        <w:numPr>
          <w:ilvl w:val="0"/>
          <w:numId w:val="10"/>
        </w:numPr>
        <w:autoSpaceDE/>
        <w:autoSpaceDN/>
        <w:spacing w:after="160" w:line="259" w:lineRule="auto"/>
        <w:ind w:hanging="371"/>
        <w:contextualSpacing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sz w:val="24"/>
          <w:lang w:val="bg-BG" w:eastAsia="en-US"/>
        </w:rPr>
        <w:t xml:space="preserve">Доброволни кодекси за „справедливо ценообразуване“ дават </w:t>
      </w:r>
      <w:proofErr w:type="spellStart"/>
      <w:r w:rsidRPr="0072401A">
        <w:rPr>
          <w:rFonts w:ascii="Times New Roman" w:eastAsia="Calibri" w:hAnsi="Times New Roman"/>
          <w:sz w:val="24"/>
          <w:lang w:val="bg-BG" w:eastAsia="en-US"/>
        </w:rPr>
        <w:t>репутационни</w:t>
      </w:r>
      <w:proofErr w:type="spellEnd"/>
      <w:r w:rsidRPr="0072401A">
        <w:rPr>
          <w:rFonts w:ascii="Times New Roman" w:eastAsia="Calibri" w:hAnsi="Times New Roman"/>
          <w:sz w:val="24"/>
          <w:lang w:val="bg-BG" w:eastAsia="en-US"/>
        </w:rPr>
        <w:t xml:space="preserve"> ползи на лоялните фирми, без да ограничават пазара.</w:t>
      </w:r>
    </w:p>
    <w:p w14:paraId="14109BE3" w14:textId="77777777" w:rsidR="0072401A" w:rsidRPr="0072401A" w:rsidRDefault="0072401A" w:rsidP="00385E9E">
      <w:pPr>
        <w:numPr>
          <w:ilvl w:val="0"/>
          <w:numId w:val="10"/>
        </w:numPr>
        <w:autoSpaceDE/>
        <w:autoSpaceDN/>
        <w:spacing w:after="160" w:line="259" w:lineRule="auto"/>
        <w:ind w:hanging="371"/>
        <w:contextualSpacing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sz w:val="24"/>
          <w:lang w:val="bg-BG" w:eastAsia="en-US"/>
        </w:rPr>
        <w:t>Интензивен мониторинг и публично „посочване“ на нарушителите (</w:t>
      </w:r>
      <w:proofErr w:type="spellStart"/>
      <w:r w:rsidRPr="0072401A">
        <w:rPr>
          <w:rFonts w:ascii="Times New Roman" w:eastAsia="Calibri" w:hAnsi="Times New Roman"/>
          <w:sz w:val="24"/>
          <w:lang w:val="bg-BG" w:eastAsia="en-US"/>
        </w:rPr>
        <w:t>PriceWatch</w:t>
      </w:r>
      <w:proofErr w:type="spellEnd"/>
      <w:r w:rsidRPr="0072401A">
        <w:rPr>
          <w:rFonts w:ascii="Times New Roman" w:eastAsia="Calibri" w:hAnsi="Times New Roman"/>
          <w:sz w:val="24"/>
          <w:lang w:val="bg-BG" w:eastAsia="en-US"/>
        </w:rPr>
        <w:t>, евро-наблюдателници, горещи линии) възпират злоупотреби без да изкривяват цените.</w:t>
      </w:r>
    </w:p>
    <w:p w14:paraId="5C390E5B" w14:textId="77777777" w:rsidR="0072401A" w:rsidRPr="0072401A" w:rsidRDefault="0072401A" w:rsidP="00385E9E">
      <w:pPr>
        <w:numPr>
          <w:ilvl w:val="0"/>
          <w:numId w:val="9"/>
        </w:numPr>
        <w:autoSpaceDE/>
        <w:autoSpaceDN/>
        <w:spacing w:after="160" w:line="259" w:lineRule="auto"/>
        <w:ind w:left="709" w:hanging="425"/>
        <w:contextualSpacing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i/>
          <w:sz w:val="24"/>
          <w:lang w:val="bg-BG" w:eastAsia="en-US"/>
        </w:rPr>
        <w:t>Измеримият ефект върху инфлацията е минимален</w:t>
      </w:r>
      <w:r w:rsidRPr="0072401A">
        <w:rPr>
          <w:rFonts w:ascii="Times New Roman" w:eastAsia="Calibri" w:hAnsi="Times New Roman"/>
          <w:sz w:val="24"/>
          <w:lang w:val="bg-BG" w:eastAsia="en-US"/>
        </w:rPr>
        <w:t xml:space="preserve"> – обикновено 0,0–0,3 процентни пункта, напълно в рамките на нормалната месечна </w:t>
      </w:r>
      <w:proofErr w:type="spellStart"/>
      <w:r w:rsidRPr="0072401A">
        <w:rPr>
          <w:rFonts w:ascii="Times New Roman" w:eastAsia="Calibri" w:hAnsi="Times New Roman"/>
          <w:sz w:val="24"/>
          <w:lang w:val="bg-BG" w:eastAsia="en-US"/>
        </w:rPr>
        <w:t>волатилност</w:t>
      </w:r>
      <w:proofErr w:type="spellEnd"/>
      <w:r w:rsidRPr="0072401A">
        <w:rPr>
          <w:rFonts w:ascii="Times New Roman" w:eastAsia="Calibri" w:hAnsi="Times New Roman"/>
          <w:sz w:val="24"/>
          <w:lang w:val="bg-BG" w:eastAsia="en-US"/>
        </w:rPr>
        <w:t xml:space="preserve">. Въпреки това </w:t>
      </w:r>
      <w:r w:rsidRPr="0072401A">
        <w:rPr>
          <w:rFonts w:ascii="Times New Roman" w:eastAsia="Calibri" w:hAnsi="Times New Roman"/>
          <w:sz w:val="24"/>
          <w:lang w:val="bg-BG" w:eastAsia="en-US"/>
        </w:rPr>
        <w:lastRenderedPageBreak/>
        <w:t>възприетата инфлация често е много по-висока, което означава, че комуникацията е толкова важна, колкото и контролът.</w:t>
      </w:r>
    </w:p>
    <w:p w14:paraId="13E8B06C" w14:textId="77777777" w:rsidR="0072401A" w:rsidRDefault="0072401A" w:rsidP="00385E9E">
      <w:pPr>
        <w:numPr>
          <w:ilvl w:val="0"/>
          <w:numId w:val="9"/>
        </w:numPr>
        <w:autoSpaceDE/>
        <w:autoSpaceDN/>
        <w:spacing w:after="160" w:line="259" w:lineRule="auto"/>
        <w:ind w:left="709" w:hanging="425"/>
        <w:contextualSpacing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i/>
          <w:sz w:val="24"/>
          <w:lang w:val="bg-BG" w:eastAsia="en-US"/>
        </w:rPr>
        <w:t>Правилата на ЕС за конкуренция и вътрешен пазар са определящи</w:t>
      </w:r>
      <w:r w:rsidRPr="0072401A">
        <w:rPr>
          <w:rFonts w:ascii="Times New Roman" w:eastAsia="Calibri" w:hAnsi="Times New Roman"/>
          <w:sz w:val="24"/>
          <w:lang w:val="bg-BG" w:eastAsia="en-US"/>
        </w:rPr>
        <w:t>. Правителствата могат да въвеждат тавани само временно и при ясни социални основания; затова повечето залагат на по-лекия модел „кодекс + мониторинг“.</w:t>
      </w:r>
    </w:p>
    <w:p w14:paraId="60C4E045" w14:textId="77777777" w:rsidR="0072401A" w:rsidRPr="0072401A" w:rsidRDefault="0072401A" w:rsidP="00CC4DB4">
      <w:pPr>
        <w:autoSpaceDE/>
        <w:autoSpaceDN/>
        <w:spacing w:after="160" w:line="259" w:lineRule="auto"/>
        <w:ind w:left="709" w:firstLine="0"/>
        <w:contextualSpacing/>
        <w:jc w:val="left"/>
        <w:rPr>
          <w:rFonts w:ascii="Times New Roman" w:eastAsia="Calibri" w:hAnsi="Times New Roman"/>
          <w:sz w:val="24"/>
          <w:lang w:val="bg-BG" w:eastAsia="en-US"/>
        </w:rPr>
      </w:pPr>
    </w:p>
    <w:p w14:paraId="7BDCAA61" w14:textId="77777777" w:rsidR="0072401A" w:rsidRPr="0072401A" w:rsidRDefault="0072401A" w:rsidP="0072401A">
      <w:pPr>
        <w:autoSpaceDE/>
        <w:autoSpaceDN/>
        <w:spacing w:after="160" w:line="259" w:lineRule="auto"/>
        <w:ind w:firstLine="709"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sz w:val="24"/>
          <w:lang w:val="bg-BG" w:eastAsia="en-US"/>
        </w:rPr>
        <w:t>Много по-често, и обикновено достатъчно, се прилагат именно доброволните споразумения за справедливо ценообразуване, подкрепени от интензивен мониторинг, двойно показване на цени и реални санкции при злоупотреби, както направи Франция. В крайна сметка обаче, ефектът върху инфлацията е бил не повече от няколко десети от процентен пункт – а понякога и нулев.</w:t>
      </w:r>
    </w:p>
    <w:p w14:paraId="5B8139FB" w14:textId="77777777" w:rsidR="0072401A" w:rsidRPr="0072401A" w:rsidRDefault="0072401A" w:rsidP="00385E9E">
      <w:pPr>
        <w:autoSpaceDE/>
        <w:autoSpaceDN/>
        <w:spacing w:after="160" w:line="259" w:lineRule="auto"/>
        <w:ind w:firstLine="709"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sz w:val="24"/>
          <w:lang w:val="bg-BG" w:eastAsia="en-US"/>
        </w:rPr>
        <w:t>Само Хърватия през 2023 г. е прибягвала до твърди ценови ограничения, които проработиха само частично.</w:t>
      </w:r>
      <w:r w:rsidRPr="0072401A">
        <w:rPr>
          <w:rFonts w:ascii="Times New Roman" w:eastAsia="Calibri" w:hAnsi="Times New Roman"/>
          <w:sz w:val="24"/>
          <w:lang w:val="en-US" w:eastAsia="en-US"/>
        </w:rPr>
        <w:t xml:space="preserve"> </w:t>
      </w:r>
      <w:r w:rsidRPr="0072401A">
        <w:rPr>
          <w:rFonts w:ascii="Times New Roman" w:eastAsia="Calibri" w:hAnsi="Times New Roman"/>
          <w:sz w:val="24"/>
          <w:lang w:val="bg-BG" w:eastAsia="en-US"/>
        </w:rPr>
        <w:t>Някои домакинства бяха предпазени от скокове в цените на енергията и храните, но общата инфлация не се промени, а много фирми успяха да заобиколят ограниченията.</w:t>
      </w:r>
    </w:p>
    <w:p w14:paraId="079A3E02" w14:textId="77777777" w:rsidR="0072401A" w:rsidRPr="0072401A" w:rsidRDefault="0072401A" w:rsidP="00385E9E">
      <w:pPr>
        <w:autoSpaceDE/>
        <w:autoSpaceDN/>
        <w:spacing w:after="160" w:line="259" w:lineRule="auto"/>
        <w:ind w:firstLine="0"/>
        <w:rPr>
          <w:rFonts w:ascii="Times New Roman" w:eastAsia="Calibri" w:hAnsi="Times New Roman"/>
          <w:b/>
          <w:sz w:val="24"/>
          <w:lang w:val="bg-BG" w:eastAsia="en-US"/>
        </w:rPr>
      </w:pPr>
      <w:r w:rsidRPr="0072401A">
        <w:rPr>
          <w:rFonts w:ascii="Times New Roman" w:eastAsia="Calibri" w:hAnsi="Times New Roman"/>
          <w:b/>
          <w:sz w:val="24"/>
          <w:lang w:val="bg-BG" w:eastAsia="en-US"/>
        </w:rPr>
        <w:t>Защо частичен успех?</w:t>
      </w:r>
    </w:p>
    <w:p w14:paraId="434994D0" w14:textId="77777777" w:rsidR="0072401A" w:rsidRPr="0072401A" w:rsidRDefault="0072401A" w:rsidP="00385E9E">
      <w:pPr>
        <w:numPr>
          <w:ilvl w:val="0"/>
          <w:numId w:val="11"/>
        </w:numPr>
        <w:autoSpaceDE/>
        <w:autoSpaceDN/>
        <w:spacing w:after="160" w:line="259" w:lineRule="auto"/>
        <w:contextualSpacing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i/>
          <w:sz w:val="24"/>
          <w:lang w:val="bg-BG" w:eastAsia="en-US"/>
        </w:rPr>
        <w:t>Правителството ограничи цените</w:t>
      </w:r>
      <w:r w:rsidRPr="0072401A">
        <w:rPr>
          <w:rFonts w:ascii="Times New Roman" w:eastAsia="Calibri" w:hAnsi="Times New Roman"/>
          <w:sz w:val="24"/>
          <w:lang w:val="bg-BG" w:eastAsia="en-US"/>
        </w:rPr>
        <w:t xml:space="preserve"> на електроенергията, газа и горивата, замрази тарифите за централно отопление и регулира основните храни (олио, брашно, захар, свинско месо, пилешко месо, мляко и др.). Тези широки мерки бяха удължени през 2023-</w:t>
      </w:r>
      <w:r w:rsidRPr="0072401A">
        <w:rPr>
          <w:rFonts w:ascii="Times New Roman" w:eastAsia="Calibri" w:hAnsi="Times New Roman"/>
          <w:sz w:val="24"/>
          <w:lang w:val="en-US" w:eastAsia="en-US"/>
        </w:rPr>
        <w:t>20</w:t>
      </w:r>
      <w:r w:rsidRPr="0072401A">
        <w:rPr>
          <w:rFonts w:ascii="Times New Roman" w:eastAsia="Calibri" w:hAnsi="Times New Roman"/>
          <w:sz w:val="24"/>
          <w:lang w:val="bg-BG" w:eastAsia="en-US"/>
        </w:rPr>
        <w:t xml:space="preserve">24 г., а през януари 2025 г. списъкът с основни стоки с ограничение беше разширен до 70 продукта.    </w:t>
      </w:r>
    </w:p>
    <w:p w14:paraId="78DED157" w14:textId="77777777" w:rsidR="0072401A" w:rsidRPr="0072401A" w:rsidRDefault="0072401A" w:rsidP="00385E9E">
      <w:pPr>
        <w:numPr>
          <w:ilvl w:val="0"/>
          <w:numId w:val="11"/>
        </w:numPr>
        <w:autoSpaceDE/>
        <w:autoSpaceDN/>
        <w:spacing w:after="160" w:line="259" w:lineRule="auto"/>
        <w:contextualSpacing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i/>
          <w:sz w:val="24"/>
          <w:lang w:val="bg-BG" w:eastAsia="en-US"/>
        </w:rPr>
        <w:t>Незабавен ефект</w:t>
      </w:r>
      <w:r w:rsidRPr="0072401A">
        <w:rPr>
          <w:rFonts w:ascii="Times New Roman" w:eastAsia="Calibri" w:hAnsi="Times New Roman"/>
          <w:sz w:val="24"/>
          <w:lang w:val="bg-BG" w:eastAsia="en-US"/>
        </w:rPr>
        <w:t xml:space="preserve">: Те временно смекчиха инфлационния натиск върху тези специфични артикули и сметките за енергия на домакинствата. </w:t>
      </w:r>
    </w:p>
    <w:p w14:paraId="1711F862" w14:textId="77777777" w:rsidR="0072401A" w:rsidRDefault="0072401A" w:rsidP="00385E9E">
      <w:pPr>
        <w:numPr>
          <w:ilvl w:val="0"/>
          <w:numId w:val="11"/>
        </w:numPr>
        <w:autoSpaceDE/>
        <w:autoSpaceDN/>
        <w:spacing w:after="160" w:line="259" w:lineRule="auto"/>
        <w:contextualSpacing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i/>
          <w:sz w:val="24"/>
          <w:lang w:val="bg-BG" w:eastAsia="en-US"/>
        </w:rPr>
        <w:t>Макро резултат</w:t>
      </w:r>
      <w:r w:rsidRPr="0072401A">
        <w:rPr>
          <w:rFonts w:ascii="Times New Roman" w:eastAsia="Calibri" w:hAnsi="Times New Roman"/>
          <w:sz w:val="24"/>
          <w:lang w:val="bg-BG" w:eastAsia="en-US"/>
        </w:rPr>
        <w:t>: Общата инфлация спадна от двуцифрени числа през 2022 г. до около 4,3% до май 2024 г., но остана над средното ниво за еврозоната и дори достигна отново 4,3–5,0% в началото на 2025 г., един от най-високите нива в зоната.</w:t>
      </w:r>
    </w:p>
    <w:p w14:paraId="27729228" w14:textId="77777777" w:rsidR="0072401A" w:rsidRPr="0072401A" w:rsidRDefault="0072401A" w:rsidP="00385E9E">
      <w:pPr>
        <w:autoSpaceDE/>
        <w:autoSpaceDN/>
        <w:spacing w:after="160" w:line="259" w:lineRule="auto"/>
        <w:ind w:left="720" w:firstLine="0"/>
        <w:contextualSpacing/>
        <w:rPr>
          <w:rFonts w:ascii="Times New Roman" w:eastAsia="Calibri" w:hAnsi="Times New Roman"/>
          <w:sz w:val="24"/>
          <w:lang w:val="bg-BG" w:eastAsia="en-US"/>
        </w:rPr>
      </w:pPr>
    </w:p>
    <w:p w14:paraId="715DD81A" w14:textId="77777777" w:rsidR="00193431" w:rsidRDefault="0072401A" w:rsidP="00385E9E">
      <w:pPr>
        <w:autoSpaceDE/>
        <w:autoSpaceDN/>
        <w:spacing w:after="160" w:line="259" w:lineRule="auto"/>
        <w:ind w:firstLine="0"/>
        <w:rPr>
          <w:rFonts w:ascii="Times New Roman" w:eastAsia="Calibri" w:hAnsi="Times New Roman"/>
          <w:sz w:val="24"/>
          <w:lang w:val="bg-BG" w:eastAsia="en-US"/>
        </w:rPr>
      </w:pPr>
      <w:r w:rsidRPr="0072401A">
        <w:rPr>
          <w:rFonts w:ascii="Times New Roman" w:eastAsia="Calibri" w:hAnsi="Times New Roman"/>
          <w:b/>
          <w:sz w:val="24"/>
          <w:lang w:val="bg-BG" w:eastAsia="en-US"/>
        </w:rPr>
        <w:t>В заключение:</w:t>
      </w:r>
      <w:r w:rsidRPr="0072401A">
        <w:rPr>
          <w:rFonts w:ascii="Times New Roman" w:eastAsia="Calibri" w:hAnsi="Times New Roman"/>
          <w:sz w:val="24"/>
          <w:lang w:val="bg-BG" w:eastAsia="en-US"/>
        </w:rPr>
        <w:t xml:space="preserve"> </w:t>
      </w:r>
    </w:p>
    <w:p w14:paraId="383859E7" w14:textId="4D4424DE" w:rsidR="0072401A" w:rsidRPr="0072401A" w:rsidRDefault="003325C7" w:rsidP="00FD60E9">
      <w:pPr>
        <w:autoSpaceDE/>
        <w:autoSpaceDN/>
        <w:spacing w:after="160" w:line="259" w:lineRule="auto"/>
        <w:rPr>
          <w:rFonts w:ascii="Times New Roman" w:eastAsia="Calibri" w:hAnsi="Times New Roman"/>
          <w:sz w:val="24"/>
          <w:lang w:val="bg-BG" w:eastAsia="en-US"/>
        </w:rPr>
      </w:pPr>
      <w:r>
        <w:rPr>
          <w:rFonts w:ascii="Times New Roman" w:eastAsia="Calibri" w:hAnsi="Times New Roman"/>
          <w:sz w:val="24"/>
          <w:lang w:val="bg-BG" w:eastAsia="en-US"/>
        </w:rPr>
        <w:t xml:space="preserve">Мерките </w:t>
      </w:r>
      <w:r w:rsidR="0072401A" w:rsidRPr="0072401A">
        <w:rPr>
          <w:rFonts w:ascii="Times New Roman" w:eastAsia="Calibri" w:hAnsi="Times New Roman"/>
          <w:sz w:val="24"/>
          <w:lang w:val="bg-BG" w:eastAsia="en-US"/>
        </w:rPr>
        <w:t>постиг</w:t>
      </w:r>
      <w:r w:rsidR="006308BE">
        <w:rPr>
          <w:rFonts w:ascii="Times New Roman" w:eastAsia="Calibri" w:hAnsi="Times New Roman"/>
          <w:sz w:val="24"/>
          <w:lang w:val="bg-BG" w:eastAsia="en-US"/>
        </w:rPr>
        <w:t>ат</w:t>
      </w:r>
      <w:r w:rsidR="0072401A" w:rsidRPr="0072401A">
        <w:rPr>
          <w:rFonts w:ascii="Times New Roman" w:eastAsia="Calibri" w:hAnsi="Times New Roman"/>
          <w:sz w:val="24"/>
          <w:lang w:val="bg-BG" w:eastAsia="en-US"/>
        </w:rPr>
        <w:t xml:space="preserve"> тясната си краткосрочна цел за защита на потребителите, но не успя</w:t>
      </w:r>
      <w:r w:rsidR="006308BE">
        <w:rPr>
          <w:rFonts w:ascii="Times New Roman" w:eastAsia="Calibri" w:hAnsi="Times New Roman"/>
          <w:sz w:val="24"/>
          <w:lang w:val="bg-BG" w:eastAsia="en-US"/>
        </w:rPr>
        <w:t>ват</w:t>
      </w:r>
      <w:r w:rsidR="0072401A" w:rsidRPr="0072401A">
        <w:rPr>
          <w:rFonts w:ascii="Times New Roman" w:eastAsia="Calibri" w:hAnsi="Times New Roman"/>
          <w:sz w:val="24"/>
          <w:lang w:val="bg-BG" w:eastAsia="en-US"/>
        </w:rPr>
        <w:t xml:space="preserve"> да постигн</w:t>
      </w:r>
      <w:r w:rsidR="00170558">
        <w:rPr>
          <w:rFonts w:ascii="Times New Roman" w:eastAsia="Calibri" w:hAnsi="Times New Roman"/>
          <w:sz w:val="24"/>
          <w:lang w:val="bg-BG" w:eastAsia="en-US"/>
        </w:rPr>
        <w:t>ат</w:t>
      </w:r>
      <w:r w:rsidR="0072401A" w:rsidRPr="0072401A">
        <w:rPr>
          <w:rFonts w:ascii="Times New Roman" w:eastAsia="Calibri" w:hAnsi="Times New Roman"/>
          <w:sz w:val="24"/>
          <w:lang w:val="bg-BG" w:eastAsia="en-US"/>
        </w:rPr>
        <w:t xml:space="preserve"> по-голямата - за нормализиране на инфлацията.</w:t>
      </w:r>
      <w:r w:rsidR="00771797">
        <w:rPr>
          <w:rFonts w:ascii="Times New Roman" w:eastAsia="Calibri" w:hAnsi="Times New Roman"/>
          <w:sz w:val="24"/>
          <w:lang w:val="bg-BG" w:eastAsia="en-US"/>
        </w:rPr>
        <w:t xml:space="preserve"> </w:t>
      </w:r>
      <w:r w:rsidR="0072401A" w:rsidRPr="0072401A">
        <w:rPr>
          <w:rFonts w:ascii="Times New Roman" w:eastAsia="Calibri" w:hAnsi="Times New Roman"/>
          <w:sz w:val="24"/>
          <w:lang w:val="bg-BG" w:eastAsia="en-US"/>
        </w:rPr>
        <w:t xml:space="preserve">По-голямото предизвикателство би било управлението на възприятието за инфлация, а не самото ѝ равнище. </w:t>
      </w:r>
      <w:bookmarkStart w:id="0" w:name="_GoBack"/>
      <w:bookmarkEnd w:id="0"/>
    </w:p>
    <w:p w14:paraId="64DDC184" w14:textId="77777777" w:rsidR="00454D58" w:rsidRPr="00454D58" w:rsidRDefault="00454D58" w:rsidP="00385E9E">
      <w:pPr>
        <w:rPr>
          <w:rFonts w:ascii="Times New Roman" w:hAnsi="Times New Roman"/>
          <w:sz w:val="24"/>
          <w:lang w:val="bg-BG"/>
        </w:rPr>
      </w:pPr>
    </w:p>
    <w:p w14:paraId="2A55D38D" w14:textId="77777777" w:rsidR="00454D58" w:rsidRDefault="00454D58" w:rsidP="00385E9E">
      <w:pPr>
        <w:rPr>
          <w:rFonts w:ascii="Times New Roman" w:hAnsi="Times New Roman"/>
          <w:sz w:val="24"/>
          <w:lang w:val="bg-BG"/>
        </w:rPr>
      </w:pPr>
    </w:p>
    <w:p w14:paraId="39A17F98" w14:textId="77777777" w:rsidR="00454D58" w:rsidRDefault="00454D58" w:rsidP="00454D58">
      <w:pPr>
        <w:rPr>
          <w:rFonts w:ascii="Times New Roman" w:hAnsi="Times New Roman"/>
          <w:sz w:val="24"/>
          <w:lang w:val="bg-BG"/>
        </w:rPr>
      </w:pPr>
    </w:p>
    <w:p w14:paraId="03A8CCFA" w14:textId="77777777" w:rsidR="009D36DF" w:rsidRPr="00454D58" w:rsidRDefault="00454D58" w:rsidP="00F40BA2">
      <w:pPr>
        <w:tabs>
          <w:tab w:val="left" w:pos="3240"/>
          <w:tab w:val="left" w:pos="3870"/>
        </w:tabs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ab/>
      </w:r>
      <w:r w:rsidR="00F40BA2">
        <w:rPr>
          <w:rFonts w:ascii="Times New Roman" w:hAnsi="Times New Roman"/>
          <w:sz w:val="24"/>
          <w:lang w:val="bg-BG"/>
        </w:rPr>
        <w:tab/>
      </w:r>
    </w:p>
    <w:sectPr w:rsidR="009D36DF" w:rsidRPr="00454D58" w:rsidSect="00D3356F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0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E007A" w14:textId="77777777" w:rsidR="00016556" w:rsidRDefault="00016556">
      <w:r>
        <w:separator/>
      </w:r>
    </w:p>
  </w:endnote>
  <w:endnote w:type="continuationSeparator" w:id="0">
    <w:p w14:paraId="19F7E4EF" w14:textId="77777777" w:rsidR="00016556" w:rsidRDefault="0001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375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DDBCF" w14:textId="77777777" w:rsidR="006A21D3" w:rsidRDefault="006A21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D68EA1" w14:textId="77777777" w:rsidR="000B491B" w:rsidRDefault="000B4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DB80" w14:textId="77777777" w:rsidR="008B05E4" w:rsidRDefault="00B27F74" w:rsidP="00957640">
    <w:pPr>
      <w:pBdr>
        <w:top w:val="single" w:sz="4" w:space="0" w:color="auto"/>
      </w:pBdr>
      <w:spacing w:line="240" w:lineRule="auto"/>
      <w:ind w:right="-2" w:firstLine="0"/>
      <w:jc w:val="center"/>
      <w:rPr>
        <w:rFonts w:ascii="Palatino Linotype" w:hAnsi="Palatino Linotype"/>
        <w:sz w:val="18"/>
        <w:szCs w:val="18"/>
        <w:lang w:val="bg-BG"/>
      </w:rPr>
    </w:pPr>
    <w:r>
      <w:rPr>
        <w:rFonts w:ascii="Palatino Linotype" w:hAnsi="Palatino Linotype"/>
        <w:sz w:val="18"/>
        <w:szCs w:val="18"/>
        <w:lang w:val="bg-BG"/>
      </w:rPr>
      <w:t>Фискален съвет</w:t>
    </w:r>
    <w:r w:rsidR="008B05E4" w:rsidRPr="00A7543A">
      <w:rPr>
        <w:rFonts w:ascii="Palatino Linotype" w:hAnsi="Palatino Linotype"/>
        <w:sz w:val="18"/>
        <w:szCs w:val="18"/>
        <w:lang w:val="bg-BG"/>
      </w:rPr>
      <w:t xml:space="preserve"> на Бъл</w:t>
    </w:r>
    <w:r w:rsidR="008B05E4">
      <w:rPr>
        <w:rFonts w:ascii="Palatino Linotype" w:hAnsi="Palatino Linotype"/>
        <w:sz w:val="18"/>
        <w:szCs w:val="18"/>
        <w:lang w:val="bg-BG"/>
      </w:rPr>
      <w:t>гария,</w:t>
    </w:r>
    <w:r w:rsidR="00E060A0" w:rsidRPr="00E060A0">
      <w:t xml:space="preserve"> </w:t>
    </w:r>
    <w:r w:rsidR="000B491B" w:rsidRPr="000B491B">
      <w:rPr>
        <w:rFonts w:ascii="Palatino Linotype" w:hAnsi="Palatino Linotype"/>
        <w:sz w:val="18"/>
        <w:szCs w:val="18"/>
        <w:lang w:val="bg-BG"/>
      </w:rPr>
      <w:t>пл. „Народно събрание“ №</w:t>
    </w:r>
    <w:r w:rsidR="000B491B">
      <w:rPr>
        <w:rFonts w:ascii="Palatino Linotype" w:hAnsi="Palatino Linotype"/>
        <w:sz w:val="18"/>
        <w:szCs w:val="18"/>
        <w:lang w:val="bg-BG"/>
      </w:rPr>
      <w:t xml:space="preserve"> </w:t>
    </w:r>
    <w:r w:rsidR="000B491B" w:rsidRPr="000B491B">
      <w:rPr>
        <w:rFonts w:ascii="Palatino Linotype" w:hAnsi="Palatino Linotype"/>
        <w:sz w:val="18"/>
        <w:szCs w:val="18"/>
        <w:lang w:val="bg-BG"/>
      </w:rPr>
      <w:t>2</w:t>
    </w:r>
    <w:r w:rsidR="008B05E4" w:rsidRPr="000B491B">
      <w:rPr>
        <w:rFonts w:ascii="Palatino Linotype" w:hAnsi="Palatino Linotype"/>
        <w:sz w:val="18"/>
        <w:szCs w:val="18"/>
        <w:lang w:val="bg-BG"/>
      </w:rPr>
      <w:t>,</w:t>
    </w:r>
    <w:r w:rsidR="008B05E4">
      <w:rPr>
        <w:rFonts w:ascii="Palatino Linotype" w:hAnsi="Palatino Linotype"/>
        <w:sz w:val="18"/>
        <w:szCs w:val="18"/>
        <w:lang w:val="bg-BG"/>
      </w:rPr>
      <w:t xml:space="preserve"> София 1169</w:t>
    </w:r>
  </w:p>
  <w:p w14:paraId="430DC798" w14:textId="77777777" w:rsidR="008B05E4" w:rsidRPr="00937628" w:rsidRDefault="008B05E4" w:rsidP="00454D58">
    <w:pPr>
      <w:pBdr>
        <w:top w:val="single" w:sz="4" w:space="0" w:color="auto"/>
      </w:pBdr>
      <w:spacing w:line="240" w:lineRule="auto"/>
      <w:ind w:right="-2" w:firstLine="0"/>
      <w:jc w:val="center"/>
      <w:rPr>
        <w:rFonts w:ascii="Palatino Linotype" w:hAnsi="Palatino Linotype"/>
        <w:i/>
        <w:sz w:val="18"/>
        <w:szCs w:val="18"/>
        <w:lang w:val="bg-BG"/>
      </w:rPr>
    </w:pPr>
    <w:r w:rsidRPr="00937628">
      <w:rPr>
        <w:rFonts w:ascii="Palatino Linotype" w:hAnsi="Palatino Linotype"/>
        <w:i/>
        <w:sz w:val="18"/>
        <w:szCs w:val="18"/>
        <w:lang w:val="bg-BG"/>
      </w:rPr>
      <w:t xml:space="preserve">тел.: </w:t>
    </w:r>
    <w:r w:rsidR="00B557B5" w:rsidRPr="00B557B5">
      <w:rPr>
        <w:rFonts w:ascii="Palatino Linotype" w:hAnsi="Palatino Linotype"/>
        <w:i/>
        <w:sz w:val="18"/>
        <w:szCs w:val="18"/>
        <w:lang w:val="bg-BG"/>
      </w:rPr>
      <w:t>02/939 2192</w:t>
    </w:r>
    <w:r w:rsidR="00454D58">
      <w:rPr>
        <w:rFonts w:ascii="Palatino Linotype" w:hAnsi="Palatino Linotype"/>
        <w:i/>
        <w:sz w:val="18"/>
        <w:szCs w:val="18"/>
        <w:lang w:val="bg-BG"/>
      </w:rPr>
      <w:t xml:space="preserve">; </w:t>
    </w:r>
    <w:r w:rsidRPr="00937628">
      <w:rPr>
        <w:rFonts w:ascii="Palatino Linotype" w:hAnsi="Palatino Linotype"/>
        <w:i/>
        <w:sz w:val="18"/>
        <w:szCs w:val="18"/>
        <w:lang w:val="en-US"/>
      </w:rPr>
      <w:t>e</w:t>
    </w:r>
    <w:r w:rsidRPr="00937628">
      <w:rPr>
        <w:rFonts w:ascii="Palatino Linotype" w:hAnsi="Palatino Linotype"/>
        <w:i/>
        <w:sz w:val="18"/>
        <w:szCs w:val="18"/>
        <w:lang w:val="bg-BG"/>
      </w:rPr>
      <w:t>-</w:t>
    </w:r>
    <w:r w:rsidRPr="00937628">
      <w:rPr>
        <w:rFonts w:ascii="Palatino Linotype" w:hAnsi="Palatino Linotype"/>
        <w:i/>
        <w:sz w:val="18"/>
        <w:szCs w:val="18"/>
        <w:lang w:val="en-US"/>
      </w:rPr>
      <w:t>mail</w:t>
    </w:r>
    <w:r w:rsidRPr="00937628">
      <w:rPr>
        <w:rFonts w:ascii="Palatino Linotype" w:hAnsi="Palatino Linotype"/>
        <w:i/>
        <w:sz w:val="18"/>
        <w:szCs w:val="18"/>
        <w:lang w:val="bg-BG"/>
      </w:rPr>
      <w:t xml:space="preserve">: </w:t>
    </w:r>
    <w:r w:rsidR="00454D58" w:rsidRPr="00454D58">
      <w:rPr>
        <w:rFonts w:ascii="Palatino Linotype" w:hAnsi="Palatino Linotype"/>
        <w:i/>
        <w:sz w:val="18"/>
        <w:szCs w:val="18"/>
        <w:lang w:val="bg-BG"/>
      </w:rPr>
      <w:t>fiscal.council@parliament.bg</w:t>
    </w:r>
  </w:p>
  <w:p w14:paraId="02AEE312" w14:textId="77777777" w:rsidR="008B05E4" w:rsidRPr="002E0A6B" w:rsidRDefault="008B05E4" w:rsidP="00957640">
    <w:pPr>
      <w:pBdr>
        <w:top w:val="single" w:sz="4" w:space="0" w:color="auto"/>
      </w:pBdr>
      <w:spacing w:line="240" w:lineRule="auto"/>
      <w:ind w:right="-2" w:firstLine="0"/>
      <w:jc w:val="center"/>
      <w:rPr>
        <w:rFonts w:ascii="Palatino Linotype" w:hAnsi="Palatino Linotype"/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85FDD" w14:textId="77777777" w:rsidR="00016556" w:rsidRDefault="00016556">
      <w:r>
        <w:separator/>
      </w:r>
    </w:p>
  </w:footnote>
  <w:footnote w:type="continuationSeparator" w:id="0">
    <w:p w14:paraId="43717B06" w14:textId="77777777" w:rsidR="00016556" w:rsidRDefault="0001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02FB" w14:textId="77777777" w:rsidR="008B05E4" w:rsidRPr="0058711C" w:rsidRDefault="003B082E" w:rsidP="00DF3344">
    <w:pPr>
      <w:spacing w:line="240" w:lineRule="auto"/>
      <w:ind w:left="-284" w:right="72" w:firstLine="2411"/>
      <w:rPr>
        <w:rFonts w:ascii="Palatino Linotype" w:hAnsi="Palatino Linotype"/>
        <w:b/>
        <w:bCs/>
        <w:sz w:val="28"/>
        <w:szCs w:val="28"/>
        <w:lang w:val="bg-BG"/>
      </w:rPr>
    </w:pPr>
    <w:r w:rsidRPr="0058711C">
      <w:rPr>
        <w:rFonts w:ascii="Palatino Linotype" w:hAnsi="Palatino Linotype"/>
        <w:b/>
        <w:bCs/>
        <w:noProof/>
        <w:sz w:val="28"/>
        <w:szCs w:val="28"/>
        <w:lang w:val="en-US" w:eastAsia="en-US"/>
      </w:rPr>
      <w:drawing>
        <wp:anchor distT="0" distB="0" distL="114300" distR="114300" simplePos="0" relativeHeight="251657728" behindDoc="0" locked="0" layoutInCell="1" allowOverlap="1" wp14:anchorId="449B0E8E" wp14:editId="0B8A37F4">
          <wp:simplePos x="0" y="0"/>
          <wp:positionH relativeFrom="column">
            <wp:posOffset>-151765</wp:posOffset>
          </wp:positionH>
          <wp:positionV relativeFrom="paragraph">
            <wp:posOffset>-219075</wp:posOffset>
          </wp:positionV>
          <wp:extent cx="1384300" cy="10331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344" w:rsidRPr="0058711C">
      <w:rPr>
        <w:rFonts w:ascii="Palatino Linotype" w:hAnsi="Palatino Linotype"/>
        <w:b/>
        <w:bCs/>
        <w:sz w:val="28"/>
        <w:szCs w:val="28"/>
        <w:lang w:val="bg-BG"/>
      </w:rPr>
      <w:t>РЕПУБЛИКА БЪЛГАРИЯ</w:t>
    </w:r>
  </w:p>
  <w:p w14:paraId="63CF2DA6" w14:textId="77777777" w:rsidR="00D3356F" w:rsidRPr="0058711C" w:rsidRDefault="00D3356F" w:rsidP="00957640">
    <w:pPr>
      <w:pBdr>
        <w:top w:val="single" w:sz="4" w:space="1" w:color="auto"/>
      </w:pBdr>
      <w:spacing w:line="240" w:lineRule="auto"/>
      <w:ind w:left="2127" w:right="72" w:firstLine="0"/>
      <w:rPr>
        <w:rFonts w:ascii="Palatino Linotype" w:hAnsi="Palatino Linotype"/>
        <w:b/>
        <w:bCs/>
        <w:sz w:val="28"/>
        <w:szCs w:val="28"/>
        <w:lang w:val="bg-BG"/>
      </w:rPr>
    </w:pPr>
    <w:r w:rsidRPr="0058711C">
      <w:rPr>
        <w:rFonts w:ascii="Palatino Linotype" w:hAnsi="Palatino Linotype"/>
        <w:b/>
        <w:bCs/>
        <w:sz w:val="28"/>
        <w:szCs w:val="28"/>
        <w:lang w:val="bg-BG"/>
      </w:rPr>
      <w:t>ФИСКАЛЕН СЪВЕТ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EF7"/>
    <w:multiLevelType w:val="hybridMultilevel"/>
    <w:tmpl w:val="FBB6145E"/>
    <w:lvl w:ilvl="0" w:tplc="930E0C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627665"/>
    <w:multiLevelType w:val="hybridMultilevel"/>
    <w:tmpl w:val="3094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B89"/>
    <w:multiLevelType w:val="hybridMultilevel"/>
    <w:tmpl w:val="F32678D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003931"/>
    <w:multiLevelType w:val="hybridMultilevel"/>
    <w:tmpl w:val="C554AE3E"/>
    <w:lvl w:ilvl="0" w:tplc="28CA5B8C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4" w15:restartNumberingAfterBreak="0">
    <w:nsid w:val="22B669F8"/>
    <w:multiLevelType w:val="hybridMultilevel"/>
    <w:tmpl w:val="C9F6A158"/>
    <w:lvl w:ilvl="0" w:tplc="10FAA822">
      <w:start w:val="5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B5C26"/>
    <w:multiLevelType w:val="hybridMultilevel"/>
    <w:tmpl w:val="ED986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3729F"/>
    <w:multiLevelType w:val="hybridMultilevel"/>
    <w:tmpl w:val="027472E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A52F06"/>
    <w:multiLevelType w:val="hybridMultilevel"/>
    <w:tmpl w:val="523A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8A0221"/>
    <w:multiLevelType w:val="hybridMultilevel"/>
    <w:tmpl w:val="307EC6F4"/>
    <w:lvl w:ilvl="0" w:tplc="FDF447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B1555E"/>
    <w:multiLevelType w:val="hybridMultilevel"/>
    <w:tmpl w:val="820A367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F954E4"/>
    <w:multiLevelType w:val="hybridMultilevel"/>
    <w:tmpl w:val="CEFE63F4"/>
    <w:lvl w:ilvl="0" w:tplc="3EDCF25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11" w15:restartNumberingAfterBreak="0">
    <w:nsid w:val="617D44DE"/>
    <w:multiLevelType w:val="hybridMultilevel"/>
    <w:tmpl w:val="60BA1AD2"/>
    <w:lvl w:ilvl="0" w:tplc="686A23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43A5F"/>
    <w:multiLevelType w:val="hybridMultilevel"/>
    <w:tmpl w:val="1C6A6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D7"/>
    <w:rsid w:val="000027F5"/>
    <w:rsid w:val="00011DAA"/>
    <w:rsid w:val="0001335C"/>
    <w:rsid w:val="00016556"/>
    <w:rsid w:val="00016ADA"/>
    <w:rsid w:val="00021306"/>
    <w:rsid w:val="000376F0"/>
    <w:rsid w:val="00045921"/>
    <w:rsid w:val="00052462"/>
    <w:rsid w:val="000529CE"/>
    <w:rsid w:val="00062454"/>
    <w:rsid w:val="00062FDD"/>
    <w:rsid w:val="00063779"/>
    <w:rsid w:val="00065256"/>
    <w:rsid w:val="00080B6F"/>
    <w:rsid w:val="00097ECB"/>
    <w:rsid w:val="000A44CA"/>
    <w:rsid w:val="000A786B"/>
    <w:rsid w:val="000B30E3"/>
    <w:rsid w:val="000B491B"/>
    <w:rsid w:val="000B60F7"/>
    <w:rsid w:val="000C5046"/>
    <w:rsid w:val="000C5362"/>
    <w:rsid w:val="000D1D07"/>
    <w:rsid w:val="000D3B4D"/>
    <w:rsid w:val="000E0006"/>
    <w:rsid w:val="000E4FDD"/>
    <w:rsid w:val="000E6043"/>
    <w:rsid w:val="000E6CF5"/>
    <w:rsid w:val="000E7D8A"/>
    <w:rsid w:val="000F1C2C"/>
    <w:rsid w:val="000F3065"/>
    <w:rsid w:val="000F6932"/>
    <w:rsid w:val="001003EC"/>
    <w:rsid w:val="0010555F"/>
    <w:rsid w:val="00115980"/>
    <w:rsid w:val="00117884"/>
    <w:rsid w:val="00125125"/>
    <w:rsid w:val="00127340"/>
    <w:rsid w:val="00132FF7"/>
    <w:rsid w:val="00133BBB"/>
    <w:rsid w:val="00140036"/>
    <w:rsid w:val="00140268"/>
    <w:rsid w:val="001407EA"/>
    <w:rsid w:val="001461FD"/>
    <w:rsid w:val="00146D05"/>
    <w:rsid w:val="001479D1"/>
    <w:rsid w:val="001524D6"/>
    <w:rsid w:val="001540D2"/>
    <w:rsid w:val="00161F8B"/>
    <w:rsid w:val="00166A07"/>
    <w:rsid w:val="00170558"/>
    <w:rsid w:val="00172E93"/>
    <w:rsid w:val="00184695"/>
    <w:rsid w:val="0018484A"/>
    <w:rsid w:val="00184A7C"/>
    <w:rsid w:val="00186E5E"/>
    <w:rsid w:val="001876D0"/>
    <w:rsid w:val="00193431"/>
    <w:rsid w:val="00193F84"/>
    <w:rsid w:val="00197699"/>
    <w:rsid w:val="001A086F"/>
    <w:rsid w:val="001A1344"/>
    <w:rsid w:val="001A5ED7"/>
    <w:rsid w:val="001B2073"/>
    <w:rsid w:val="001B4158"/>
    <w:rsid w:val="001B4CAF"/>
    <w:rsid w:val="001B6B41"/>
    <w:rsid w:val="001C7927"/>
    <w:rsid w:val="001C7C93"/>
    <w:rsid w:val="001D75BF"/>
    <w:rsid w:val="001E40EF"/>
    <w:rsid w:val="001E58FF"/>
    <w:rsid w:val="001F39AF"/>
    <w:rsid w:val="001F41D7"/>
    <w:rsid w:val="00217651"/>
    <w:rsid w:val="00222713"/>
    <w:rsid w:val="0022400B"/>
    <w:rsid w:val="002345D8"/>
    <w:rsid w:val="00244D9D"/>
    <w:rsid w:val="0024660D"/>
    <w:rsid w:val="00253C90"/>
    <w:rsid w:val="0026653B"/>
    <w:rsid w:val="00266D50"/>
    <w:rsid w:val="0026735D"/>
    <w:rsid w:val="002760B0"/>
    <w:rsid w:val="00280CF4"/>
    <w:rsid w:val="0028513A"/>
    <w:rsid w:val="00285C54"/>
    <w:rsid w:val="0028708A"/>
    <w:rsid w:val="002959B5"/>
    <w:rsid w:val="002A3DEB"/>
    <w:rsid w:val="002B30B6"/>
    <w:rsid w:val="002B4171"/>
    <w:rsid w:val="002B778E"/>
    <w:rsid w:val="002C5B6C"/>
    <w:rsid w:val="002D4416"/>
    <w:rsid w:val="002D5308"/>
    <w:rsid w:val="002D6716"/>
    <w:rsid w:val="002E0A6B"/>
    <w:rsid w:val="002E2610"/>
    <w:rsid w:val="002E48E7"/>
    <w:rsid w:val="002F64F4"/>
    <w:rsid w:val="002F7DA7"/>
    <w:rsid w:val="003059E8"/>
    <w:rsid w:val="00306644"/>
    <w:rsid w:val="00324E14"/>
    <w:rsid w:val="00330058"/>
    <w:rsid w:val="003325C7"/>
    <w:rsid w:val="0034156C"/>
    <w:rsid w:val="00372C3D"/>
    <w:rsid w:val="00380157"/>
    <w:rsid w:val="00382999"/>
    <w:rsid w:val="00385E9E"/>
    <w:rsid w:val="00391213"/>
    <w:rsid w:val="0039340A"/>
    <w:rsid w:val="00393F59"/>
    <w:rsid w:val="003A64FB"/>
    <w:rsid w:val="003B082E"/>
    <w:rsid w:val="003B3314"/>
    <w:rsid w:val="003B35C6"/>
    <w:rsid w:val="003B3F8E"/>
    <w:rsid w:val="003B479D"/>
    <w:rsid w:val="003B7771"/>
    <w:rsid w:val="003C25B8"/>
    <w:rsid w:val="003C4FF2"/>
    <w:rsid w:val="003D2935"/>
    <w:rsid w:val="003D6EA1"/>
    <w:rsid w:val="003D7D6A"/>
    <w:rsid w:val="003D7FA3"/>
    <w:rsid w:val="003F1597"/>
    <w:rsid w:val="003F39BE"/>
    <w:rsid w:val="003F56CC"/>
    <w:rsid w:val="003F7664"/>
    <w:rsid w:val="00401813"/>
    <w:rsid w:val="004047E0"/>
    <w:rsid w:val="00404AC3"/>
    <w:rsid w:val="00406192"/>
    <w:rsid w:val="004113D1"/>
    <w:rsid w:val="00416A4F"/>
    <w:rsid w:val="004206ED"/>
    <w:rsid w:val="00423D5B"/>
    <w:rsid w:val="00431C7F"/>
    <w:rsid w:val="00432419"/>
    <w:rsid w:val="0043336F"/>
    <w:rsid w:val="00440E11"/>
    <w:rsid w:val="00454D58"/>
    <w:rsid w:val="00456323"/>
    <w:rsid w:val="00457E5B"/>
    <w:rsid w:val="00460040"/>
    <w:rsid w:val="00461D76"/>
    <w:rsid w:val="00476C4D"/>
    <w:rsid w:val="004800E3"/>
    <w:rsid w:val="004826CF"/>
    <w:rsid w:val="0049296D"/>
    <w:rsid w:val="004A461E"/>
    <w:rsid w:val="004A4704"/>
    <w:rsid w:val="004B1DED"/>
    <w:rsid w:val="004C0D98"/>
    <w:rsid w:val="004C0F2B"/>
    <w:rsid w:val="004C61B5"/>
    <w:rsid w:val="004D5A43"/>
    <w:rsid w:val="004E19C7"/>
    <w:rsid w:val="004E1FB9"/>
    <w:rsid w:val="004E3234"/>
    <w:rsid w:val="004E35D7"/>
    <w:rsid w:val="004E702B"/>
    <w:rsid w:val="004F4608"/>
    <w:rsid w:val="004F4B02"/>
    <w:rsid w:val="004F692D"/>
    <w:rsid w:val="00504302"/>
    <w:rsid w:val="00507097"/>
    <w:rsid w:val="00523155"/>
    <w:rsid w:val="005237EC"/>
    <w:rsid w:val="00524ACB"/>
    <w:rsid w:val="005335D2"/>
    <w:rsid w:val="00540F9B"/>
    <w:rsid w:val="00541A5E"/>
    <w:rsid w:val="005505C5"/>
    <w:rsid w:val="00557BD8"/>
    <w:rsid w:val="00564211"/>
    <w:rsid w:val="0058711C"/>
    <w:rsid w:val="005872F8"/>
    <w:rsid w:val="005902C6"/>
    <w:rsid w:val="00592581"/>
    <w:rsid w:val="00595837"/>
    <w:rsid w:val="00596793"/>
    <w:rsid w:val="00596983"/>
    <w:rsid w:val="00596E66"/>
    <w:rsid w:val="00597245"/>
    <w:rsid w:val="005A5B55"/>
    <w:rsid w:val="005B320C"/>
    <w:rsid w:val="005B3C6C"/>
    <w:rsid w:val="005B6C28"/>
    <w:rsid w:val="005B7B26"/>
    <w:rsid w:val="005C1B24"/>
    <w:rsid w:val="005C1C97"/>
    <w:rsid w:val="005C4CFA"/>
    <w:rsid w:val="005C7FCD"/>
    <w:rsid w:val="005D108E"/>
    <w:rsid w:val="005D778A"/>
    <w:rsid w:val="005E0EAE"/>
    <w:rsid w:val="005E226E"/>
    <w:rsid w:val="005F085D"/>
    <w:rsid w:val="005F1778"/>
    <w:rsid w:val="005F4827"/>
    <w:rsid w:val="00600AB1"/>
    <w:rsid w:val="006071C5"/>
    <w:rsid w:val="00615495"/>
    <w:rsid w:val="0061799B"/>
    <w:rsid w:val="00617B35"/>
    <w:rsid w:val="00623838"/>
    <w:rsid w:val="006308BE"/>
    <w:rsid w:val="00633922"/>
    <w:rsid w:val="006422CE"/>
    <w:rsid w:val="006533E5"/>
    <w:rsid w:val="0065593E"/>
    <w:rsid w:val="00657DA9"/>
    <w:rsid w:val="00657F18"/>
    <w:rsid w:val="00670F9C"/>
    <w:rsid w:val="00673FC6"/>
    <w:rsid w:val="00675423"/>
    <w:rsid w:val="006906E4"/>
    <w:rsid w:val="0069646B"/>
    <w:rsid w:val="006966F9"/>
    <w:rsid w:val="00697B0E"/>
    <w:rsid w:val="006A00F2"/>
    <w:rsid w:val="006A21D3"/>
    <w:rsid w:val="006A4859"/>
    <w:rsid w:val="006A6197"/>
    <w:rsid w:val="006B1632"/>
    <w:rsid w:val="006C2834"/>
    <w:rsid w:val="006C3709"/>
    <w:rsid w:val="006C3A1E"/>
    <w:rsid w:val="006C407A"/>
    <w:rsid w:val="006F6841"/>
    <w:rsid w:val="006F6B13"/>
    <w:rsid w:val="00706E2A"/>
    <w:rsid w:val="00706EF7"/>
    <w:rsid w:val="007071F8"/>
    <w:rsid w:val="007112F0"/>
    <w:rsid w:val="00712204"/>
    <w:rsid w:val="007131E1"/>
    <w:rsid w:val="00714D79"/>
    <w:rsid w:val="00717EF6"/>
    <w:rsid w:val="00720DE2"/>
    <w:rsid w:val="0072401A"/>
    <w:rsid w:val="00725808"/>
    <w:rsid w:val="007345CC"/>
    <w:rsid w:val="007366BF"/>
    <w:rsid w:val="00737BBA"/>
    <w:rsid w:val="00740251"/>
    <w:rsid w:val="007508D3"/>
    <w:rsid w:val="007529F2"/>
    <w:rsid w:val="00764FDC"/>
    <w:rsid w:val="00766A2F"/>
    <w:rsid w:val="0077002C"/>
    <w:rsid w:val="00771797"/>
    <w:rsid w:val="007925AF"/>
    <w:rsid w:val="00793DAD"/>
    <w:rsid w:val="00794ABA"/>
    <w:rsid w:val="00795E1C"/>
    <w:rsid w:val="00797604"/>
    <w:rsid w:val="00797FE0"/>
    <w:rsid w:val="007A18E5"/>
    <w:rsid w:val="007B19C0"/>
    <w:rsid w:val="007B1B31"/>
    <w:rsid w:val="007B6110"/>
    <w:rsid w:val="007D04D9"/>
    <w:rsid w:val="007D1AD1"/>
    <w:rsid w:val="007E4530"/>
    <w:rsid w:val="007F68F4"/>
    <w:rsid w:val="00802A6F"/>
    <w:rsid w:val="00817134"/>
    <w:rsid w:val="00824597"/>
    <w:rsid w:val="00825771"/>
    <w:rsid w:val="00840AEF"/>
    <w:rsid w:val="00841658"/>
    <w:rsid w:val="00850966"/>
    <w:rsid w:val="00850C53"/>
    <w:rsid w:val="008625DB"/>
    <w:rsid w:val="00862A72"/>
    <w:rsid w:val="00865950"/>
    <w:rsid w:val="008724F7"/>
    <w:rsid w:val="008738CE"/>
    <w:rsid w:val="00874FE0"/>
    <w:rsid w:val="00877663"/>
    <w:rsid w:val="00890E26"/>
    <w:rsid w:val="0089371D"/>
    <w:rsid w:val="008A111B"/>
    <w:rsid w:val="008B05E4"/>
    <w:rsid w:val="008B4ACA"/>
    <w:rsid w:val="008B4D1C"/>
    <w:rsid w:val="008C74DB"/>
    <w:rsid w:val="008D405C"/>
    <w:rsid w:val="008D49BD"/>
    <w:rsid w:val="008D49DE"/>
    <w:rsid w:val="008D67A3"/>
    <w:rsid w:val="008E7DD8"/>
    <w:rsid w:val="008F38B4"/>
    <w:rsid w:val="008F6EA5"/>
    <w:rsid w:val="00913E46"/>
    <w:rsid w:val="00916049"/>
    <w:rsid w:val="009202FC"/>
    <w:rsid w:val="00924D00"/>
    <w:rsid w:val="0092557E"/>
    <w:rsid w:val="00927CE7"/>
    <w:rsid w:val="009326AC"/>
    <w:rsid w:val="0093645C"/>
    <w:rsid w:val="009372A7"/>
    <w:rsid w:val="00937628"/>
    <w:rsid w:val="0094119D"/>
    <w:rsid w:val="00943D78"/>
    <w:rsid w:val="00945EF8"/>
    <w:rsid w:val="009515A3"/>
    <w:rsid w:val="00953155"/>
    <w:rsid w:val="00957640"/>
    <w:rsid w:val="00967C41"/>
    <w:rsid w:val="00971BBA"/>
    <w:rsid w:val="00980E6A"/>
    <w:rsid w:val="009846DA"/>
    <w:rsid w:val="009941DA"/>
    <w:rsid w:val="0099441B"/>
    <w:rsid w:val="00994685"/>
    <w:rsid w:val="009952BA"/>
    <w:rsid w:val="00995D0C"/>
    <w:rsid w:val="00996C55"/>
    <w:rsid w:val="009C1F4D"/>
    <w:rsid w:val="009C32D4"/>
    <w:rsid w:val="009C4E99"/>
    <w:rsid w:val="009C723A"/>
    <w:rsid w:val="009D36DF"/>
    <w:rsid w:val="009D56BC"/>
    <w:rsid w:val="009E1A45"/>
    <w:rsid w:val="009F3FEB"/>
    <w:rsid w:val="009F43BF"/>
    <w:rsid w:val="009F4941"/>
    <w:rsid w:val="00A11504"/>
    <w:rsid w:val="00A14018"/>
    <w:rsid w:val="00A17C72"/>
    <w:rsid w:val="00A2135B"/>
    <w:rsid w:val="00A22815"/>
    <w:rsid w:val="00A379D7"/>
    <w:rsid w:val="00A40566"/>
    <w:rsid w:val="00A44500"/>
    <w:rsid w:val="00A53329"/>
    <w:rsid w:val="00A700B3"/>
    <w:rsid w:val="00A71051"/>
    <w:rsid w:val="00A74EC9"/>
    <w:rsid w:val="00A7543A"/>
    <w:rsid w:val="00A81B77"/>
    <w:rsid w:val="00A82EC3"/>
    <w:rsid w:val="00A877AF"/>
    <w:rsid w:val="00A94966"/>
    <w:rsid w:val="00AA005A"/>
    <w:rsid w:val="00AA3151"/>
    <w:rsid w:val="00AA608D"/>
    <w:rsid w:val="00AC46DB"/>
    <w:rsid w:val="00AC7BC6"/>
    <w:rsid w:val="00AD1241"/>
    <w:rsid w:val="00AD34CD"/>
    <w:rsid w:val="00AE7856"/>
    <w:rsid w:val="00AF08BE"/>
    <w:rsid w:val="00AF7BF6"/>
    <w:rsid w:val="00B05309"/>
    <w:rsid w:val="00B125D9"/>
    <w:rsid w:val="00B1319F"/>
    <w:rsid w:val="00B22B20"/>
    <w:rsid w:val="00B27F74"/>
    <w:rsid w:val="00B30874"/>
    <w:rsid w:val="00B34B80"/>
    <w:rsid w:val="00B54844"/>
    <w:rsid w:val="00B5484D"/>
    <w:rsid w:val="00B557B5"/>
    <w:rsid w:val="00B74FBF"/>
    <w:rsid w:val="00B772A8"/>
    <w:rsid w:val="00B778C7"/>
    <w:rsid w:val="00BA155D"/>
    <w:rsid w:val="00BA1A15"/>
    <w:rsid w:val="00BB2BBF"/>
    <w:rsid w:val="00BB37BF"/>
    <w:rsid w:val="00BB466F"/>
    <w:rsid w:val="00BD19AB"/>
    <w:rsid w:val="00BD659D"/>
    <w:rsid w:val="00BD7304"/>
    <w:rsid w:val="00BE524F"/>
    <w:rsid w:val="00BE5FCE"/>
    <w:rsid w:val="00BF75AB"/>
    <w:rsid w:val="00C00A38"/>
    <w:rsid w:val="00C06FE0"/>
    <w:rsid w:val="00C1443C"/>
    <w:rsid w:val="00C15395"/>
    <w:rsid w:val="00C15D31"/>
    <w:rsid w:val="00C20777"/>
    <w:rsid w:val="00C25B85"/>
    <w:rsid w:val="00C303EC"/>
    <w:rsid w:val="00C3077C"/>
    <w:rsid w:val="00C31D1F"/>
    <w:rsid w:val="00C3520C"/>
    <w:rsid w:val="00C42EBF"/>
    <w:rsid w:val="00C475EF"/>
    <w:rsid w:val="00C6028B"/>
    <w:rsid w:val="00C63EEA"/>
    <w:rsid w:val="00C72359"/>
    <w:rsid w:val="00C73697"/>
    <w:rsid w:val="00C74045"/>
    <w:rsid w:val="00C74207"/>
    <w:rsid w:val="00C76068"/>
    <w:rsid w:val="00C76DA9"/>
    <w:rsid w:val="00C81297"/>
    <w:rsid w:val="00C83063"/>
    <w:rsid w:val="00C843AF"/>
    <w:rsid w:val="00C86C8E"/>
    <w:rsid w:val="00C86FD2"/>
    <w:rsid w:val="00C911A9"/>
    <w:rsid w:val="00C96324"/>
    <w:rsid w:val="00CA0575"/>
    <w:rsid w:val="00CB0496"/>
    <w:rsid w:val="00CC05F7"/>
    <w:rsid w:val="00CC20A0"/>
    <w:rsid w:val="00CC4DB4"/>
    <w:rsid w:val="00CC64ED"/>
    <w:rsid w:val="00CD2486"/>
    <w:rsid w:val="00CD3669"/>
    <w:rsid w:val="00CD612E"/>
    <w:rsid w:val="00CE5323"/>
    <w:rsid w:val="00CF0253"/>
    <w:rsid w:val="00CF70FD"/>
    <w:rsid w:val="00D07D7C"/>
    <w:rsid w:val="00D1058C"/>
    <w:rsid w:val="00D15A93"/>
    <w:rsid w:val="00D1772C"/>
    <w:rsid w:val="00D27093"/>
    <w:rsid w:val="00D3356F"/>
    <w:rsid w:val="00D35FB1"/>
    <w:rsid w:val="00D360BF"/>
    <w:rsid w:val="00D434B0"/>
    <w:rsid w:val="00D50D2B"/>
    <w:rsid w:val="00D50FBC"/>
    <w:rsid w:val="00D5286B"/>
    <w:rsid w:val="00D5638F"/>
    <w:rsid w:val="00D564C5"/>
    <w:rsid w:val="00D64809"/>
    <w:rsid w:val="00D66679"/>
    <w:rsid w:val="00D75BFB"/>
    <w:rsid w:val="00D85A13"/>
    <w:rsid w:val="00D96A65"/>
    <w:rsid w:val="00DA2DCC"/>
    <w:rsid w:val="00DC17D5"/>
    <w:rsid w:val="00DC291E"/>
    <w:rsid w:val="00DC2E1A"/>
    <w:rsid w:val="00DC73AE"/>
    <w:rsid w:val="00DD31CC"/>
    <w:rsid w:val="00DF31DB"/>
    <w:rsid w:val="00DF3344"/>
    <w:rsid w:val="00DF343F"/>
    <w:rsid w:val="00DF3B27"/>
    <w:rsid w:val="00DF4308"/>
    <w:rsid w:val="00DF5688"/>
    <w:rsid w:val="00E05814"/>
    <w:rsid w:val="00E060A0"/>
    <w:rsid w:val="00E07E71"/>
    <w:rsid w:val="00E16750"/>
    <w:rsid w:val="00E17F19"/>
    <w:rsid w:val="00E23CFD"/>
    <w:rsid w:val="00E266AD"/>
    <w:rsid w:val="00E27787"/>
    <w:rsid w:val="00E32A52"/>
    <w:rsid w:val="00E32AAC"/>
    <w:rsid w:val="00E32CB8"/>
    <w:rsid w:val="00E368E4"/>
    <w:rsid w:val="00E372B1"/>
    <w:rsid w:val="00E434C1"/>
    <w:rsid w:val="00E43DAF"/>
    <w:rsid w:val="00E45D09"/>
    <w:rsid w:val="00E57C75"/>
    <w:rsid w:val="00E57E0D"/>
    <w:rsid w:val="00E64B3C"/>
    <w:rsid w:val="00E65784"/>
    <w:rsid w:val="00E67ACE"/>
    <w:rsid w:val="00E740CB"/>
    <w:rsid w:val="00E85FE7"/>
    <w:rsid w:val="00E874DC"/>
    <w:rsid w:val="00E91531"/>
    <w:rsid w:val="00EA6595"/>
    <w:rsid w:val="00EB4B1E"/>
    <w:rsid w:val="00EB5A43"/>
    <w:rsid w:val="00EC192C"/>
    <w:rsid w:val="00EC47E2"/>
    <w:rsid w:val="00ED0B61"/>
    <w:rsid w:val="00ED45D5"/>
    <w:rsid w:val="00ED6D8A"/>
    <w:rsid w:val="00F06A79"/>
    <w:rsid w:val="00F12B99"/>
    <w:rsid w:val="00F169EC"/>
    <w:rsid w:val="00F25200"/>
    <w:rsid w:val="00F25A92"/>
    <w:rsid w:val="00F25E40"/>
    <w:rsid w:val="00F27B89"/>
    <w:rsid w:val="00F40BA2"/>
    <w:rsid w:val="00F43B26"/>
    <w:rsid w:val="00F456D8"/>
    <w:rsid w:val="00F461B4"/>
    <w:rsid w:val="00F47B80"/>
    <w:rsid w:val="00F5321C"/>
    <w:rsid w:val="00F610AC"/>
    <w:rsid w:val="00F63550"/>
    <w:rsid w:val="00F72696"/>
    <w:rsid w:val="00F72AA8"/>
    <w:rsid w:val="00F73ACE"/>
    <w:rsid w:val="00F837F4"/>
    <w:rsid w:val="00F86A19"/>
    <w:rsid w:val="00F91FC7"/>
    <w:rsid w:val="00F946C4"/>
    <w:rsid w:val="00F962FC"/>
    <w:rsid w:val="00F9694F"/>
    <w:rsid w:val="00FA1E27"/>
    <w:rsid w:val="00FA4762"/>
    <w:rsid w:val="00FA6960"/>
    <w:rsid w:val="00FB12E6"/>
    <w:rsid w:val="00FB3A26"/>
    <w:rsid w:val="00FC45A8"/>
    <w:rsid w:val="00FC488A"/>
    <w:rsid w:val="00FD2FBA"/>
    <w:rsid w:val="00FD3B0E"/>
    <w:rsid w:val="00FD45FF"/>
    <w:rsid w:val="00FD60E9"/>
    <w:rsid w:val="00FE5918"/>
    <w:rsid w:val="00FF64B7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1AAA25"/>
  <w15:chartTrackingRefBased/>
  <w15:docId w15:val="{579631B5-89D6-4278-A5A9-7F55C14A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7640"/>
    <w:pPr>
      <w:autoSpaceDE w:val="0"/>
      <w:autoSpaceDN w:val="0"/>
      <w:spacing w:line="360" w:lineRule="auto"/>
      <w:ind w:firstLine="720"/>
      <w:jc w:val="both"/>
    </w:pPr>
    <w:rPr>
      <w:rFonts w:ascii="Calibri" w:hAnsi="Calibri"/>
      <w:sz w:val="26"/>
      <w:szCs w:val="24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B7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81B7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F64F4"/>
    <w:rPr>
      <w:rFonts w:ascii="Tahoma" w:hAnsi="Tahoma" w:cs="Tahoma"/>
      <w:sz w:val="16"/>
      <w:szCs w:val="16"/>
    </w:rPr>
  </w:style>
  <w:style w:type="character" w:styleId="Hyperlink">
    <w:name w:val="Hyperlink"/>
    <w:rsid w:val="002E0A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531"/>
    <w:pPr>
      <w:autoSpaceDE/>
      <w:autoSpaceDN/>
      <w:spacing w:after="200" w:line="276" w:lineRule="auto"/>
      <w:ind w:left="720" w:firstLine="0"/>
      <w:contextualSpacing/>
      <w:jc w:val="left"/>
    </w:pPr>
    <w:rPr>
      <w:rFonts w:eastAsia="Calibri"/>
      <w:sz w:val="22"/>
      <w:szCs w:val="22"/>
      <w:lang w:val="bg-BG" w:eastAsia="en-US"/>
    </w:rPr>
  </w:style>
  <w:style w:type="character" w:customStyle="1" w:styleId="a">
    <w:name w:val="Неразрешено споменаване"/>
    <w:uiPriority w:val="99"/>
    <w:semiHidden/>
    <w:unhideWhenUsed/>
    <w:rsid w:val="00A2135B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5969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401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21D3"/>
    <w:rPr>
      <w:rFonts w:ascii="Calibri" w:hAnsi="Calibri"/>
      <w:sz w:val="26"/>
      <w:szCs w:val="24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40C1-AF4F-4518-9C3A-DE5AD19C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NA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vency</dc:creator>
  <cp:keywords/>
  <cp:lastModifiedBy>Гергана Дамянова</cp:lastModifiedBy>
  <cp:revision>2</cp:revision>
  <cp:lastPrinted>2025-07-24T11:15:00Z</cp:lastPrinted>
  <dcterms:created xsi:type="dcterms:W3CDTF">2025-07-24T11:15:00Z</dcterms:created>
  <dcterms:modified xsi:type="dcterms:W3CDTF">2025-07-24T11:15:00Z</dcterms:modified>
</cp:coreProperties>
</file>