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45A2" w14:textId="3354A95E" w:rsidR="00D35080" w:rsidRPr="00BD5FA3" w:rsidRDefault="00A90A71" w:rsidP="00800C12">
      <w:pPr>
        <w:spacing w:after="0"/>
        <w:ind w:firstLine="720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BD5FA3">
        <w:rPr>
          <w:rFonts w:cstheme="minorHAnsi"/>
          <w:b/>
          <w:bCs/>
          <w:sz w:val="24"/>
          <w:szCs w:val="24"/>
          <w:lang w:val="bg-BG"/>
        </w:rPr>
        <w:t xml:space="preserve">Предложение за решение на проблемите, свързани с предоставяне на </w:t>
      </w:r>
      <w:r w:rsidR="00BD5FA3" w:rsidRPr="00BD5FA3">
        <w:rPr>
          <w:rFonts w:cstheme="minorHAnsi"/>
          <w:b/>
          <w:bCs/>
          <w:sz w:val="24"/>
          <w:szCs w:val="24"/>
          <w:lang w:val="bg-BG"/>
        </w:rPr>
        <w:t>адекватни комплексни медицински грижи за гериатрични пациенти</w:t>
      </w:r>
    </w:p>
    <w:p w14:paraId="6CB144F2" w14:textId="77777777" w:rsidR="00B46057" w:rsidRPr="008B23A1" w:rsidRDefault="00B46057" w:rsidP="00800C12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7AEE3BC" w14:textId="77777777" w:rsidR="00742CFB" w:rsidRPr="008B23A1" w:rsidRDefault="00742CFB" w:rsidP="00800C12">
      <w:pPr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8B23A1">
        <w:rPr>
          <w:rFonts w:cstheme="minorHAnsi"/>
          <w:sz w:val="24"/>
          <w:szCs w:val="24"/>
        </w:rPr>
        <w:t>Демографските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промени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са</w:t>
      </w:r>
      <w:proofErr w:type="spellEnd"/>
      <w:r w:rsidRPr="008B23A1">
        <w:rPr>
          <w:rFonts w:cstheme="minorHAnsi"/>
          <w:sz w:val="24"/>
          <w:szCs w:val="24"/>
        </w:rPr>
        <w:t xml:space="preserve"> в </w:t>
      </w:r>
      <w:proofErr w:type="spellStart"/>
      <w:r w:rsidRPr="008B23A1">
        <w:rPr>
          <w:rFonts w:cstheme="minorHAnsi"/>
          <w:sz w:val="24"/>
          <w:szCs w:val="24"/>
        </w:rPr>
        <w:t>основата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формирането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една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нова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обществена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реалност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пред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която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изправени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обществата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Европа</w:t>
      </w:r>
      <w:proofErr w:type="spellEnd"/>
      <w:r w:rsidRPr="008B23A1">
        <w:rPr>
          <w:rFonts w:cstheme="minorHAnsi"/>
          <w:sz w:val="24"/>
          <w:szCs w:val="24"/>
        </w:rPr>
        <w:t xml:space="preserve"> и България в </w:t>
      </w:r>
      <w:proofErr w:type="spellStart"/>
      <w:r w:rsidRPr="008B23A1">
        <w:rPr>
          <w:rFonts w:cstheme="minorHAnsi"/>
          <w:sz w:val="24"/>
          <w:szCs w:val="24"/>
        </w:rPr>
        <w:t>частност</w:t>
      </w:r>
      <w:proofErr w:type="spellEnd"/>
      <w:r w:rsidRPr="008B23A1">
        <w:rPr>
          <w:rFonts w:cstheme="minorHAnsi"/>
          <w:sz w:val="24"/>
          <w:szCs w:val="24"/>
        </w:rPr>
        <w:t xml:space="preserve">. </w:t>
      </w:r>
    </w:p>
    <w:p w14:paraId="3B638BD3" w14:textId="77777777" w:rsidR="00100B6F" w:rsidRPr="008B23A1" w:rsidRDefault="00100B6F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България</w:t>
      </w:r>
      <w:r w:rsidRPr="008B23A1">
        <w:rPr>
          <w:rFonts w:cstheme="minorHAnsi"/>
          <w:sz w:val="24"/>
          <w:szCs w:val="24"/>
          <w:lang w:val="bg-BG"/>
        </w:rPr>
        <w:t xml:space="preserve"> е една от най-застаряващите и бързо намаляващи нации в</w:t>
      </w:r>
      <w:r w:rsidR="00742CFB" w:rsidRPr="008B23A1">
        <w:rPr>
          <w:rFonts w:cstheme="minorHAnsi"/>
          <w:sz w:val="24"/>
          <w:szCs w:val="24"/>
          <w:lang w:val="bg-BG"/>
        </w:rPr>
        <w:t xml:space="preserve"> Европа и</w:t>
      </w:r>
      <w:r w:rsidRPr="008B23A1">
        <w:rPr>
          <w:rFonts w:cstheme="minorHAnsi"/>
          <w:sz w:val="24"/>
          <w:szCs w:val="24"/>
          <w:lang w:val="bg-BG"/>
        </w:rPr>
        <w:t xml:space="preserve"> света.</w:t>
      </w:r>
      <w:r w:rsidR="00233692" w:rsidRPr="008B23A1">
        <w:rPr>
          <w:rFonts w:cstheme="minorHAnsi"/>
          <w:sz w:val="24"/>
          <w:szCs w:val="24"/>
          <w:lang w:val="bg-BG"/>
        </w:rPr>
        <w:t xml:space="preserve"> Н</w:t>
      </w:r>
      <w:r w:rsidRPr="008B23A1">
        <w:rPr>
          <w:rFonts w:cstheme="minorHAnsi"/>
          <w:sz w:val="24"/>
          <w:szCs w:val="24"/>
          <w:lang w:val="bg-BG"/>
        </w:rPr>
        <w:t>аселението ни намалява главоломно</w:t>
      </w:r>
      <w:r w:rsidR="00233692" w:rsidRPr="008B23A1">
        <w:rPr>
          <w:rFonts w:cstheme="minorHAnsi"/>
          <w:sz w:val="24"/>
          <w:szCs w:val="24"/>
          <w:lang w:val="bg-BG"/>
        </w:rPr>
        <w:t xml:space="preserve"> от</w:t>
      </w:r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9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милиона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души</w:t>
      </w:r>
      <w:proofErr w:type="spellEnd"/>
      <w:r w:rsidRPr="008B23A1">
        <w:rPr>
          <w:rFonts w:cstheme="minorHAnsi"/>
          <w:sz w:val="24"/>
          <w:szCs w:val="24"/>
          <w:lang w:val="bg-BG"/>
        </w:rPr>
        <w:t xml:space="preserve">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през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80-те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години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миналия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век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5,4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милиона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души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B23A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според прогнозата на НСИ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до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 xml:space="preserve"> 2050 </w:t>
      </w:r>
      <w:proofErr w:type="spellStart"/>
      <w:r w:rsidRPr="008B23A1">
        <w:rPr>
          <w:rFonts w:cstheme="minorHAnsi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8B23A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, а </w:t>
      </w:r>
      <w:r w:rsidR="000372E5" w:rsidRPr="008B23A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броят на възрастните хора непрекъснато се увеличава.</w:t>
      </w:r>
    </w:p>
    <w:p w14:paraId="74F7E009" w14:textId="77777777" w:rsidR="00742CFB" w:rsidRPr="008B23A1" w:rsidRDefault="00D62C17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proofErr w:type="spellStart"/>
      <w:r w:rsidRPr="008B23A1">
        <w:rPr>
          <w:rFonts w:cstheme="minorHAnsi"/>
          <w:sz w:val="24"/>
          <w:szCs w:val="24"/>
        </w:rPr>
        <w:t>По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данни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НСИ, в </w:t>
      </w:r>
      <w:proofErr w:type="spellStart"/>
      <w:r w:rsidRPr="008B23A1">
        <w:rPr>
          <w:rFonts w:cstheme="minorHAnsi"/>
          <w:sz w:val="24"/>
          <w:szCs w:val="24"/>
        </w:rPr>
        <w:t>края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2024 г. </w:t>
      </w:r>
      <w:proofErr w:type="spellStart"/>
      <w:r w:rsidRPr="008B23A1">
        <w:rPr>
          <w:rFonts w:cstheme="minorHAnsi"/>
          <w:sz w:val="24"/>
          <w:szCs w:val="24"/>
        </w:rPr>
        <w:t>възрастните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r w:rsidRPr="008B23A1">
        <w:rPr>
          <w:rFonts w:cstheme="minorHAnsi"/>
          <w:sz w:val="24"/>
          <w:szCs w:val="24"/>
          <w:lang w:val="bg-BG"/>
        </w:rPr>
        <w:t>хора (</w:t>
      </w:r>
      <w:proofErr w:type="spellStart"/>
      <w:r w:rsidR="00EC6C08" w:rsidRPr="008B23A1">
        <w:rPr>
          <w:rFonts w:cstheme="minorHAnsi"/>
          <w:sz w:val="24"/>
          <w:szCs w:val="24"/>
        </w:rPr>
        <w:t>на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65 и </w:t>
      </w:r>
      <w:proofErr w:type="spellStart"/>
      <w:r w:rsidR="00EC6C08" w:rsidRPr="008B23A1">
        <w:rPr>
          <w:rFonts w:cstheme="minorHAnsi"/>
          <w:sz w:val="24"/>
          <w:szCs w:val="24"/>
        </w:rPr>
        <w:t>повече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</w:t>
      </w:r>
      <w:proofErr w:type="spellStart"/>
      <w:r w:rsidR="00EC6C08" w:rsidRPr="008B23A1">
        <w:rPr>
          <w:rFonts w:cstheme="minorHAnsi"/>
          <w:sz w:val="24"/>
          <w:szCs w:val="24"/>
        </w:rPr>
        <w:t>навършени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</w:t>
      </w:r>
      <w:proofErr w:type="spellStart"/>
      <w:r w:rsidR="00EC6C08" w:rsidRPr="008B23A1">
        <w:rPr>
          <w:rFonts w:cstheme="minorHAnsi"/>
          <w:sz w:val="24"/>
          <w:szCs w:val="24"/>
        </w:rPr>
        <w:t>години</w:t>
      </w:r>
      <w:proofErr w:type="spellEnd"/>
      <w:r w:rsidRPr="008B23A1">
        <w:rPr>
          <w:rFonts w:cstheme="minorHAnsi"/>
          <w:sz w:val="24"/>
          <w:szCs w:val="24"/>
          <w:lang w:val="bg-BG"/>
        </w:rPr>
        <w:t>)</w:t>
      </w:r>
      <w:r w:rsidR="00EC6C08" w:rsidRPr="008B23A1">
        <w:rPr>
          <w:rFonts w:cstheme="minorHAnsi"/>
          <w:sz w:val="24"/>
          <w:szCs w:val="24"/>
        </w:rPr>
        <w:t xml:space="preserve"> в </w:t>
      </w:r>
      <w:proofErr w:type="spellStart"/>
      <w:r w:rsidR="00EC6C08" w:rsidRPr="008B23A1">
        <w:rPr>
          <w:rFonts w:cstheme="minorHAnsi"/>
          <w:sz w:val="24"/>
          <w:szCs w:val="24"/>
        </w:rPr>
        <w:t>страната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</w:t>
      </w:r>
      <w:proofErr w:type="spellStart"/>
      <w:r w:rsidR="00EC6C08" w:rsidRPr="008B23A1">
        <w:rPr>
          <w:rFonts w:cstheme="minorHAnsi"/>
          <w:sz w:val="24"/>
          <w:szCs w:val="24"/>
        </w:rPr>
        <w:t>са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1 544 245, </w:t>
      </w:r>
      <w:proofErr w:type="spellStart"/>
      <w:r w:rsidR="00EC6C08" w:rsidRPr="008B23A1">
        <w:rPr>
          <w:rFonts w:cstheme="minorHAnsi"/>
          <w:sz w:val="24"/>
          <w:szCs w:val="24"/>
        </w:rPr>
        <w:t>или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</w:t>
      </w:r>
      <w:r w:rsidR="00233692" w:rsidRPr="008B23A1">
        <w:rPr>
          <w:rFonts w:cstheme="minorHAnsi"/>
          <w:sz w:val="24"/>
          <w:szCs w:val="24"/>
          <w:lang w:val="bg-BG"/>
        </w:rPr>
        <w:t>24</w:t>
      </w:r>
      <w:r w:rsidR="00EC6C08" w:rsidRPr="008B23A1">
        <w:rPr>
          <w:rFonts w:cstheme="minorHAnsi"/>
          <w:sz w:val="24"/>
          <w:szCs w:val="24"/>
        </w:rPr>
        <w:t xml:space="preserve"> % </w:t>
      </w:r>
      <w:proofErr w:type="spellStart"/>
      <w:r w:rsidR="00EC6C08" w:rsidRPr="008B23A1">
        <w:rPr>
          <w:rFonts w:cstheme="minorHAnsi"/>
          <w:sz w:val="24"/>
          <w:szCs w:val="24"/>
        </w:rPr>
        <w:t>от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</w:t>
      </w:r>
      <w:proofErr w:type="spellStart"/>
      <w:r w:rsidR="00EC6C08" w:rsidRPr="008B23A1">
        <w:rPr>
          <w:rFonts w:cstheme="minorHAnsi"/>
          <w:sz w:val="24"/>
          <w:szCs w:val="24"/>
        </w:rPr>
        <w:t>общото</w:t>
      </w:r>
      <w:proofErr w:type="spellEnd"/>
      <w:r w:rsidR="00EC6C08" w:rsidRPr="008B23A1">
        <w:rPr>
          <w:rFonts w:cstheme="minorHAnsi"/>
          <w:sz w:val="24"/>
          <w:szCs w:val="24"/>
        </w:rPr>
        <w:t xml:space="preserve"> </w:t>
      </w:r>
      <w:proofErr w:type="spellStart"/>
      <w:r w:rsidR="00EC6C08" w:rsidRPr="008B23A1">
        <w:rPr>
          <w:rFonts w:cstheme="minorHAnsi"/>
          <w:sz w:val="24"/>
          <w:szCs w:val="24"/>
        </w:rPr>
        <w:t>население</w:t>
      </w:r>
      <w:proofErr w:type="spellEnd"/>
      <w:r w:rsidR="00EC6C08" w:rsidRPr="008B23A1">
        <w:rPr>
          <w:rFonts w:cstheme="minorHAnsi"/>
          <w:sz w:val="24"/>
          <w:szCs w:val="24"/>
        </w:rPr>
        <w:t>.</w:t>
      </w:r>
      <w:r w:rsidR="00EC6C08" w:rsidRPr="008B23A1">
        <w:rPr>
          <w:rFonts w:cstheme="minorHAnsi"/>
          <w:sz w:val="24"/>
          <w:szCs w:val="24"/>
          <w:lang w:val="bg-BG"/>
        </w:rPr>
        <w:t xml:space="preserve"> </w:t>
      </w:r>
      <w:proofErr w:type="spellStart"/>
      <w:r w:rsidR="00742CFB" w:rsidRPr="008B23A1">
        <w:rPr>
          <w:rFonts w:cstheme="minorHAnsi"/>
          <w:sz w:val="24"/>
          <w:szCs w:val="24"/>
        </w:rPr>
        <w:t>Това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 </w:t>
      </w:r>
      <w:proofErr w:type="spellStart"/>
      <w:r w:rsidR="00742CFB" w:rsidRPr="008B23A1">
        <w:rPr>
          <w:rFonts w:cstheme="minorHAnsi"/>
          <w:sz w:val="24"/>
          <w:szCs w:val="24"/>
        </w:rPr>
        <w:t>означава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742CFB" w:rsidRPr="008B23A1">
        <w:rPr>
          <w:rFonts w:cstheme="minorHAnsi"/>
          <w:sz w:val="24"/>
          <w:szCs w:val="24"/>
        </w:rPr>
        <w:t>че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в</w:t>
      </w:r>
      <w:r w:rsidR="00742CFB" w:rsidRPr="008B23A1">
        <w:rPr>
          <w:rFonts w:cstheme="minorHAnsi"/>
          <w:sz w:val="24"/>
          <w:szCs w:val="24"/>
        </w:rPr>
        <w:t>секи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 5</w:t>
      </w:r>
      <w:r w:rsidR="00742CFB" w:rsidRPr="008B23A1">
        <w:rPr>
          <w:rFonts w:cstheme="minorHAnsi"/>
          <w:sz w:val="24"/>
          <w:szCs w:val="24"/>
          <w:lang w:val="bg-BG"/>
        </w:rPr>
        <w:t>-ти</w:t>
      </w:r>
      <w:r w:rsidR="00742CFB" w:rsidRPr="008B23A1">
        <w:rPr>
          <w:rFonts w:cstheme="minorHAnsi"/>
          <w:sz w:val="24"/>
          <w:szCs w:val="24"/>
        </w:rPr>
        <w:t xml:space="preserve"> </w:t>
      </w:r>
      <w:proofErr w:type="spellStart"/>
      <w:r w:rsidR="00742CFB" w:rsidRPr="008B23A1">
        <w:rPr>
          <w:rFonts w:cstheme="minorHAnsi"/>
          <w:sz w:val="24"/>
          <w:szCs w:val="24"/>
        </w:rPr>
        <w:t>българин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 </w:t>
      </w:r>
      <w:r w:rsidR="00233692" w:rsidRPr="008B23A1">
        <w:rPr>
          <w:rFonts w:cstheme="minorHAnsi"/>
          <w:sz w:val="24"/>
          <w:szCs w:val="24"/>
        </w:rPr>
        <w:t xml:space="preserve">е </w:t>
      </w:r>
      <w:proofErr w:type="spellStart"/>
      <w:r w:rsidR="00233692" w:rsidRPr="008B23A1">
        <w:rPr>
          <w:rFonts w:cstheme="minorHAnsi"/>
          <w:sz w:val="24"/>
          <w:szCs w:val="24"/>
        </w:rPr>
        <w:t>на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възраст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над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65 г. </w:t>
      </w:r>
      <w:proofErr w:type="spellStart"/>
      <w:r w:rsidR="00233692" w:rsidRPr="008B23A1">
        <w:rPr>
          <w:rFonts w:cstheme="minorHAnsi"/>
          <w:sz w:val="24"/>
          <w:szCs w:val="24"/>
        </w:rPr>
        <w:t>През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1990 г. </w:t>
      </w:r>
      <w:proofErr w:type="spellStart"/>
      <w:r w:rsidR="00233692" w:rsidRPr="008B23A1">
        <w:rPr>
          <w:rFonts w:cstheme="minorHAnsi"/>
          <w:sz w:val="24"/>
          <w:szCs w:val="24"/>
        </w:rPr>
        <w:t>над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65 г. е </w:t>
      </w:r>
      <w:proofErr w:type="spellStart"/>
      <w:r w:rsidR="00233692" w:rsidRPr="008B23A1">
        <w:rPr>
          <w:rFonts w:cstheme="minorHAnsi"/>
          <w:sz w:val="24"/>
          <w:szCs w:val="24"/>
        </w:rPr>
        <w:t>бил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само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един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от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всеки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13 </w:t>
      </w:r>
      <w:proofErr w:type="spellStart"/>
      <w:r w:rsidR="00233692" w:rsidRPr="008B23A1">
        <w:rPr>
          <w:rFonts w:cstheme="minorHAnsi"/>
          <w:sz w:val="24"/>
          <w:szCs w:val="24"/>
        </w:rPr>
        <w:t>души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. </w:t>
      </w:r>
      <w:proofErr w:type="spellStart"/>
      <w:r w:rsidR="00233692" w:rsidRPr="008B23A1">
        <w:rPr>
          <w:rFonts w:cstheme="minorHAnsi"/>
          <w:sz w:val="24"/>
          <w:szCs w:val="24"/>
        </w:rPr>
        <w:t>Очаква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се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към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2060 г. </w:t>
      </w:r>
      <w:proofErr w:type="spellStart"/>
      <w:r w:rsidR="00233692" w:rsidRPr="008B23A1">
        <w:rPr>
          <w:rFonts w:cstheme="minorHAnsi"/>
          <w:sz w:val="24"/>
          <w:szCs w:val="24"/>
        </w:rPr>
        <w:t>възрастното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население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в </w:t>
      </w:r>
      <w:proofErr w:type="spellStart"/>
      <w:r w:rsidR="00233692" w:rsidRPr="008B23A1">
        <w:rPr>
          <w:rFonts w:cstheme="minorHAnsi"/>
          <w:sz w:val="24"/>
          <w:szCs w:val="24"/>
        </w:rPr>
        <w:t>Република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България </w:t>
      </w:r>
      <w:proofErr w:type="spellStart"/>
      <w:r w:rsidR="00233692" w:rsidRPr="008B23A1">
        <w:rPr>
          <w:rFonts w:cstheme="minorHAnsi"/>
          <w:sz w:val="24"/>
          <w:szCs w:val="24"/>
        </w:rPr>
        <w:t>на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65 и </w:t>
      </w:r>
      <w:proofErr w:type="spellStart"/>
      <w:r w:rsidR="00233692" w:rsidRPr="008B23A1">
        <w:rPr>
          <w:rFonts w:cstheme="minorHAnsi"/>
          <w:sz w:val="24"/>
          <w:szCs w:val="24"/>
        </w:rPr>
        <w:t>повече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години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като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процент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от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общото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население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да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се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увеличи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с 12,3 </w:t>
      </w:r>
      <w:proofErr w:type="spellStart"/>
      <w:r w:rsidR="00233692" w:rsidRPr="008B23A1">
        <w:rPr>
          <w:rFonts w:cstheme="minorHAnsi"/>
          <w:sz w:val="24"/>
          <w:szCs w:val="24"/>
        </w:rPr>
        <w:t>процентни</w:t>
      </w:r>
      <w:proofErr w:type="spellEnd"/>
      <w:r w:rsidR="0023369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233692" w:rsidRPr="008B23A1">
        <w:rPr>
          <w:rFonts w:cstheme="minorHAnsi"/>
          <w:sz w:val="24"/>
          <w:szCs w:val="24"/>
        </w:rPr>
        <w:t>пун</w:t>
      </w:r>
      <w:r w:rsidR="00742CFB" w:rsidRPr="008B23A1">
        <w:rPr>
          <w:rFonts w:cstheme="minorHAnsi"/>
          <w:sz w:val="24"/>
          <w:szCs w:val="24"/>
        </w:rPr>
        <w:t>кта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 (</w:t>
      </w:r>
      <w:proofErr w:type="spellStart"/>
      <w:r w:rsidR="00742CFB" w:rsidRPr="008B23A1">
        <w:rPr>
          <w:rFonts w:cstheme="minorHAnsi"/>
          <w:sz w:val="24"/>
          <w:szCs w:val="24"/>
        </w:rPr>
        <w:t>п.п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.) и </w:t>
      </w:r>
      <w:proofErr w:type="spellStart"/>
      <w:r w:rsidR="00742CFB" w:rsidRPr="008B23A1">
        <w:rPr>
          <w:rFonts w:cstheme="minorHAnsi"/>
          <w:sz w:val="24"/>
          <w:szCs w:val="24"/>
        </w:rPr>
        <w:t>да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 </w:t>
      </w:r>
      <w:proofErr w:type="spellStart"/>
      <w:r w:rsidR="00742CFB" w:rsidRPr="008B23A1">
        <w:rPr>
          <w:rFonts w:cstheme="minorHAnsi"/>
          <w:sz w:val="24"/>
          <w:szCs w:val="24"/>
        </w:rPr>
        <w:t>достигне</w:t>
      </w:r>
      <w:proofErr w:type="spellEnd"/>
      <w:r w:rsidR="00742CFB" w:rsidRPr="008B23A1">
        <w:rPr>
          <w:rFonts w:cstheme="minorHAnsi"/>
          <w:sz w:val="24"/>
          <w:szCs w:val="24"/>
        </w:rPr>
        <w:t xml:space="preserve"> 31%</w:t>
      </w:r>
      <w:r w:rsidR="00233692" w:rsidRPr="008B23A1">
        <w:rPr>
          <w:rFonts w:cstheme="minorHAnsi"/>
          <w:sz w:val="24"/>
          <w:szCs w:val="24"/>
        </w:rPr>
        <w:t xml:space="preserve">. </w:t>
      </w:r>
      <w:r w:rsidR="00742CFB" w:rsidRPr="008B23A1">
        <w:rPr>
          <w:rFonts w:cstheme="minorHAnsi"/>
          <w:sz w:val="24"/>
          <w:szCs w:val="24"/>
          <w:lang w:val="bg-BG"/>
        </w:rPr>
        <w:t xml:space="preserve">Т.е. тогава всеки 3-ти българин ще е на възраст над 65 г. </w:t>
      </w:r>
    </w:p>
    <w:p w14:paraId="645AB6EC" w14:textId="77777777" w:rsidR="00742CFB" w:rsidRPr="008B23A1" w:rsidRDefault="00742CFB" w:rsidP="001F3A8D">
      <w:pPr>
        <w:spacing w:after="0"/>
        <w:ind w:firstLine="708"/>
        <w:jc w:val="both"/>
        <w:rPr>
          <w:rFonts w:cstheme="minorHAnsi"/>
          <w:sz w:val="24"/>
          <w:szCs w:val="24"/>
          <w:lang w:val="bg-BG"/>
        </w:rPr>
      </w:pPr>
      <w:proofErr w:type="spellStart"/>
      <w:r w:rsidRPr="008B23A1">
        <w:rPr>
          <w:rFonts w:cstheme="minorHAnsi"/>
          <w:sz w:val="24"/>
          <w:szCs w:val="24"/>
        </w:rPr>
        <w:t>Очертаващата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трайна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тенденция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застаряване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населението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прогресивното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нарастване</w:t>
      </w:r>
      <w:proofErr w:type="spellEnd"/>
      <w:r w:rsidRPr="008B23A1">
        <w:rPr>
          <w:rFonts w:cstheme="minorHAnsi"/>
          <w:sz w:val="24"/>
          <w:szCs w:val="24"/>
        </w:rPr>
        <w:t xml:space="preserve"> с </w:t>
      </w:r>
      <w:proofErr w:type="spellStart"/>
      <w:r w:rsidRPr="008B23A1">
        <w:rPr>
          <w:rFonts w:cstheme="minorHAnsi"/>
          <w:sz w:val="24"/>
          <w:szCs w:val="24"/>
        </w:rPr>
        <w:t>всяка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изминала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година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процентния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дял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възрастното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население</w:t>
      </w:r>
      <w:proofErr w:type="spellEnd"/>
      <w:r w:rsidRPr="008B23A1">
        <w:rPr>
          <w:rFonts w:cstheme="minorHAnsi"/>
          <w:sz w:val="24"/>
          <w:szCs w:val="24"/>
        </w:rPr>
        <w:t xml:space="preserve"> е </w:t>
      </w:r>
      <w:proofErr w:type="spellStart"/>
      <w:r w:rsidRPr="008B23A1">
        <w:rPr>
          <w:rFonts w:cstheme="minorHAnsi"/>
          <w:sz w:val="24"/>
          <w:szCs w:val="24"/>
        </w:rPr>
        <w:t>процес</w:t>
      </w:r>
      <w:proofErr w:type="spellEnd"/>
      <w:r w:rsidR="00800C12" w:rsidRPr="008B23A1">
        <w:rPr>
          <w:rFonts w:cstheme="minorHAnsi"/>
          <w:sz w:val="24"/>
          <w:szCs w:val="24"/>
          <w:lang w:val="bg-BG"/>
        </w:rPr>
        <w:t>, който</w:t>
      </w:r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има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огромно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отражение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върху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икономиката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се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превръща</w:t>
      </w:r>
      <w:proofErr w:type="spellEnd"/>
      <w:r w:rsidRPr="008B23A1">
        <w:rPr>
          <w:rFonts w:cstheme="minorHAnsi"/>
          <w:sz w:val="24"/>
          <w:szCs w:val="24"/>
        </w:rPr>
        <w:t xml:space="preserve"> в </w:t>
      </w:r>
      <w:proofErr w:type="spellStart"/>
      <w:r w:rsidRPr="008B23A1">
        <w:rPr>
          <w:rFonts w:cstheme="minorHAnsi"/>
          <w:sz w:val="24"/>
          <w:szCs w:val="24"/>
        </w:rPr>
        <w:t>проблем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макрофискалната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стабилност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устойчивостта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всички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социални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системи</w:t>
      </w:r>
      <w:proofErr w:type="spellEnd"/>
      <w:r w:rsidRPr="008B23A1">
        <w:rPr>
          <w:rFonts w:cstheme="minorHAnsi"/>
          <w:sz w:val="24"/>
          <w:szCs w:val="24"/>
        </w:rPr>
        <w:t xml:space="preserve"> - </w:t>
      </w:r>
      <w:proofErr w:type="spellStart"/>
      <w:r w:rsidRPr="008B23A1">
        <w:rPr>
          <w:rFonts w:cstheme="minorHAnsi"/>
          <w:sz w:val="24"/>
          <w:szCs w:val="24"/>
        </w:rPr>
        <w:t>пазара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труда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пенсионната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система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здравеопазването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системата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за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социално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подпомагане</w:t>
      </w:r>
      <w:proofErr w:type="spellEnd"/>
      <w:r w:rsidRPr="008B23A1">
        <w:rPr>
          <w:rFonts w:cstheme="minorHAnsi"/>
          <w:sz w:val="24"/>
          <w:szCs w:val="24"/>
        </w:rPr>
        <w:t>.</w:t>
      </w:r>
    </w:p>
    <w:p w14:paraId="07286D1B" w14:textId="77777777" w:rsidR="00742CFB" w:rsidRPr="008B23A1" w:rsidRDefault="00742CFB" w:rsidP="00800C12">
      <w:pPr>
        <w:spacing w:after="0"/>
        <w:ind w:firstLine="708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</w:rPr>
        <w:t xml:space="preserve">В </w:t>
      </w:r>
      <w:proofErr w:type="spellStart"/>
      <w:r w:rsidRPr="008B23A1">
        <w:rPr>
          <w:rFonts w:cstheme="minorHAnsi"/>
          <w:sz w:val="24"/>
          <w:szCs w:val="24"/>
        </w:rPr>
        <w:t>демографски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план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застаряването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населението</w:t>
      </w:r>
      <w:proofErr w:type="spellEnd"/>
      <w:r w:rsidRPr="008B23A1">
        <w:rPr>
          <w:rFonts w:cstheme="minorHAnsi"/>
          <w:sz w:val="24"/>
          <w:szCs w:val="24"/>
        </w:rPr>
        <w:t xml:space="preserve"> е </w:t>
      </w:r>
      <w:proofErr w:type="spellStart"/>
      <w:r w:rsidRPr="008B23A1">
        <w:rPr>
          <w:rFonts w:cstheme="minorHAnsi"/>
          <w:sz w:val="24"/>
          <w:szCs w:val="24"/>
        </w:rPr>
        <w:t>необратим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процес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затова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отговорът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това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предизвикателство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трябва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да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бъде</w:t>
      </w:r>
      <w:proofErr w:type="spellEnd"/>
      <w:r w:rsidR="00800C12" w:rsidRPr="008B23A1">
        <w:rPr>
          <w:rFonts w:cstheme="minorHAnsi"/>
          <w:sz w:val="24"/>
          <w:szCs w:val="24"/>
          <w:lang w:val="bg-BG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прилагане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развитие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интегрирана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политика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насочена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към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осигуряване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качеството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живот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възрастните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хора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BA56C0" w:rsidRPr="008B23A1">
        <w:rPr>
          <w:rFonts w:cstheme="minorHAnsi"/>
          <w:sz w:val="24"/>
          <w:szCs w:val="24"/>
        </w:rPr>
        <w:t>остаряването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в </w:t>
      </w:r>
      <w:proofErr w:type="spellStart"/>
      <w:r w:rsidR="00BA56C0" w:rsidRPr="008B23A1">
        <w:rPr>
          <w:rFonts w:cstheme="minorHAnsi"/>
          <w:sz w:val="24"/>
          <w:szCs w:val="24"/>
        </w:rPr>
        <w:t>добро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здраве</w:t>
      </w:r>
      <w:proofErr w:type="spellEnd"/>
      <w:r w:rsidR="00BA56C0" w:rsidRPr="008B23A1">
        <w:rPr>
          <w:rFonts w:cstheme="minorHAnsi"/>
          <w:sz w:val="24"/>
          <w:szCs w:val="24"/>
        </w:rPr>
        <w:t>.</w:t>
      </w:r>
    </w:p>
    <w:p w14:paraId="34EE5178" w14:textId="77777777" w:rsidR="00561302" w:rsidRPr="008B23A1" w:rsidRDefault="00561302" w:rsidP="00800C12">
      <w:pPr>
        <w:spacing w:after="0"/>
        <w:ind w:firstLine="708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</w:rPr>
        <w:t xml:space="preserve">В </w:t>
      </w:r>
      <w:proofErr w:type="spellStart"/>
      <w:r w:rsidRPr="008B23A1">
        <w:rPr>
          <w:rFonts w:cstheme="minorHAnsi"/>
          <w:sz w:val="24"/>
          <w:szCs w:val="24"/>
        </w:rPr>
        <w:t>отговор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тези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нови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предизвикателства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възможности</w:t>
      </w:r>
      <w:proofErr w:type="spellEnd"/>
      <w:r w:rsidR="00D35080" w:rsidRPr="008B23A1">
        <w:rPr>
          <w:rFonts w:cstheme="minorHAnsi"/>
          <w:sz w:val="24"/>
          <w:szCs w:val="24"/>
          <w:lang w:val="bg-BG"/>
        </w:rPr>
        <w:t>,</w:t>
      </w:r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институциите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международно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европейско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национално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ниво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активно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разработват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мерки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които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да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гарантират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че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обществата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подготвени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да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справят</w:t>
      </w:r>
      <w:proofErr w:type="spellEnd"/>
      <w:r w:rsidRPr="008B23A1">
        <w:rPr>
          <w:rFonts w:cstheme="minorHAnsi"/>
          <w:sz w:val="24"/>
          <w:szCs w:val="24"/>
        </w:rPr>
        <w:t xml:space="preserve"> с </w:t>
      </w:r>
      <w:proofErr w:type="spellStart"/>
      <w:r w:rsidRPr="008B23A1">
        <w:rPr>
          <w:rFonts w:cstheme="minorHAnsi"/>
          <w:sz w:val="24"/>
          <w:szCs w:val="24"/>
        </w:rPr>
        <w:t>проблемите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по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начин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отговарящ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нуждите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всички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заинтересовани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страни</w:t>
      </w:r>
      <w:proofErr w:type="spellEnd"/>
      <w:r w:rsidRPr="008B23A1">
        <w:rPr>
          <w:rFonts w:cstheme="minorHAnsi"/>
          <w:sz w:val="24"/>
          <w:szCs w:val="24"/>
        </w:rPr>
        <w:t>.</w:t>
      </w:r>
      <w:r w:rsidRPr="008B23A1">
        <w:rPr>
          <w:rFonts w:cstheme="minorHAnsi"/>
          <w:sz w:val="24"/>
          <w:szCs w:val="24"/>
          <w:lang w:val="bg-BG"/>
        </w:rPr>
        <w:t xml:space="preserve"> </w:t>
      </w:r>
    </w:p>
    <w:p w14:paraId="35B825F6" w14:textId="77777777" w:rsidR="00561302" w:rsidRPr="008B23A1" w:rsidRDefault="003F1D08" w:rsidP="00800C1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B23A1">
        <w:rPr>
          <w:rFonts w:cstheme="minorHAnsi"/>
          <w:sz w:val="24"/>
          <w:szCs w:val="24"/>
        </w:rPr>
        <w:t>България</w:t>
      </w:r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като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член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Европейския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съюз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(ЕС),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Организацията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обединените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нации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(ООН) и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Световната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здравна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организация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(СЗО) </w:t>
      </w:r>
      <w:r w:rsidRPr="008B23A1">
        <w:rPr>
          <w:rFonts w:cstheme="minorHAnsi"/>
          <w:sz w:val="24"/>
          <w:szCs w:val="24"/>
          <w:lang w:val="bg-BG"/>
        </w:rPr>
        <w:t xml:space="preserve">има ангажименти </w:t>
      </w:r>
      <w:proofErr w:type="spellStart"/>
      <w:r w:rsidR="00561302" w:rsidRPr="008B23A1">
        <w:rPr>
          <w:rFonts w:cstheme="minorHAnsi"/>
          <w:sz w:val="24"/>
          <w:szCs w:val="24"/>
        </w:rPr>
        <w:t>по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изпълнението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документи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като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Световен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доклад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за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стареенето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561302" w:rsidRPr="008B23A1">
        <w:rPr>
          <w:rFonts w:cstheme="minorHAnsi"/>
          <w:sz w:val="24"/>
          <w:szCs w:val="24"/>
        </w:rPr>
        <w:t>здравето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561302" w:rsidRPr="008B23A1">
        <w:rPr>
          <w:rFonts w:cstheme="minorHAnsi"/>
          <w:sz w:val="24"/>
          <w:szCs w:val="24"/>
        </w:rPr>
        <w:t>Активно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остаряване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: </w:t>
      </w:r>
      <w:proofErr w:type="spellStart"/>
      <w:r w:rsidR="00561302" w:rsidRPr="008B23A1">
        <w:rPr>
          <w:rFonts w:cstheme="minorHAnsi"/>
          <w:sz w:val="24"/>
          <w:szCs w:val="24"/>
        </w:rPr>
        <w:t>политическа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рамка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СЗО, </w:t>
      </w:r>
      <w:proofErr w:type="spellStart"/>
      <w:r w:rsidR="00561302" w:rsidRPr="008B23A1">
        <w:rPr>
          <w:rFonts w:cstheme="minorHAnsi"/>
          <w:sz w:val="24"/>
          <w:szCs w:val="24"/>
        </w:rPr>
        <w:t>Глобална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стратегия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561302" w:rsidRPr="008B23A1">
        <w:rPr>
          <w:rFonts w:cstheme="minorHAnsi"/>
          <w:sz w:val="24"/>
          <w:szCs w:val="24"/>
        </w:rPr>
        <w:t>план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за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действие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относно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стареенето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561302" w:rsidRPr="008B23A1">
        <w:rPr>
          <w:rFonts w:cstheme="minorHAnsi"/>
          <w:sz w:val="24"/>
          <w:szCs w:val="24"/>
        </w:rPr>
        <w:t>здравето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561302" w:rsidRPr="008B23A1">
        <w:rPr>
          <w:rFonts w:cstheme="minorHAnsi"/>
          <w:sz w:val="24"/>
          <w:szCs w:val="24"/>
        </w:rPr>
        <w:t>Стратегическия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план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за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изпълнение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Европейското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партньорство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за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иновации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в </w:t>
      </w:r>
      <w:proofErr w:type="spellStart"/>
      <w:r w:rsidR="00561302" w:rsidRPr="008B23A1">
        <w:rPr>
          <w:rFonts w:cstheme="minorHAnsi"/>
          <w:sz w:val="24"/>
          <w:szCs w:val="24"/>
        </w:rPr>
        <w:t>областта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активния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живот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възрастните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хора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561302" w:rsidRPr="008B23A1">
        <w:rPr>
          <w:rFonts w:cstheme="minorHAnsi"/>
          <w:sz w:val="24"/>
          <w:szCs w:val="24"/>
        </w:rPr>
        <w:t>остаряването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в </w:t>
      </w:r>
      <w:proofErr w:type="spellStart"/>
      <w:r w:rsidR="00561302" w:rsidRPr="008B23A1">
        <w:rPr>
          <w:rFonts w:cstheme="minorHAnsi"/>
          <w:sz w:val="24"/>
          <w:szCs w:val="24"/>
        </w:rPr>
        <w:t>добро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здраве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“, </w:t>
      </w:r>
      <w:proofErr w:type="spellStart"/>
      <w:r w:rsidR="00561302" w:rsidRPr="008B23A1">
        <w:rPr>
          <w:rFonts w:cstheme="minorHAnsi"/>
          <w:sz w:val="24"/>
          <w:szCs w:val="24"/>
        </w:rPr>
        <w:t>Резолюция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ООН </w:t>
      </w:r>
      <w:proofErr w:type="spellStart"/>
      <w:r w:rsidR="00561302" w:rsidRPr="008B23A1">
        <w:rPr>
          <w:rFonts w:cstheme="minorHAnsi"/>
          <w:sz w:val="24"/>
          <w:szCs w:val="24"/>
        </w:rPr>
        <w:t>за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Десетилетие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D35080" w:rsidRPr="008B23A1">
        <w:rPr>
          <w:rFonts w:cstheme="minorHAnsi"/>
          <w:sz w:val="24"/>
          <w:szCs w:val="24"/>
        </w:rPr>
        <w:t>здравословното</w:t>
      </w:r>
      <w:proofErr w:type="spellEnd"/>
      <w:r w:rsidR="00D3508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D35080" w:rsidRPr="008B23A1">
        <w:rPr>
          <w:rFonts w:cstheme="minorHAnsi"/>
          <w:sz w:val="24"/>
          <w:szCs w:val="24"/>
        </w:rPr>
        <w:t>стареене</w:t>
      </w:r>
      <w:proofErr w:type="spellEnd"/>
      <w:r w:rsidR="00D35080" w:rsidRPr="008B23A1">
        <w:rPr>
          <w:rFonts w:cstheme="minorHAnsi"/>
          <w:sz w:val="24"/>
          <w:szCs w:val="24"/>
        </w:rPr>
        <w:t xml:space="preserve"> (2021</w:t>
      </w:r>
      <w:r w:rsidR="00D35080" w:rsidRPr="008B23A1">
        <w:rPr>
          <w:rFonts w:cstheme="minorHAnsi"/>
          <w:sz w:val="24"/>
          <w:szCs w:val="24"/>
          <w:lang w:val="bg-BG"/>
        </w:rPr>
        <w:t>-</w:t>
      </w:r>
      <w:r w:rsidR="00561302" w:rsidRPr="008B23A1">
        <w:rPr>
          <w:rFonts w:cstheme="minorHAnsi"/>
          <w:sz w:val="24"/>
          <w:szCs w:val="24"/>
        </w:rPr>
        <w:t xml:space="preserve">2030), </w:t>
      </w:r>
      <w:proofErr w:type="spellStart"/>
      <w:r w:rsidR="00561302" w:rsidRPr="008B23A1">
        <w:rPr>
          <w:rFonts w:cstheme="minorHAnsi"/>
          <w:sz w:val="24"/>
          <w:szCs w:val="24"/>
        </w:rPr>
        <w:t>Плана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за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Десетилетие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на</w:t>
      </w:r>
      <w:proofErr w:type="spellEnd"/>
      <w:r w:rsidR="0056130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561302" w:rsidRPr="008B23A1">
        <w:rPr>
          <w:rFonts w:cstheme="minorHAnsi"/>
          <w:sz w:val="24"/>
          <w:szCs w:val="24"/>
        </w:rPr>
        <w:t>ос</w:t>
      </w:r>
      <w:r w:rsidR="00800C12" w:rsidRPr="008B23A1">
        <w:rPr>
          <w:rFonts w:cstheme="minorHAnsi"/>
          <w:sz w:val="24"/>
          <w:szCs w:val="24"/>
        </w:rPr>
        <w:t>таряването</w:t>
      </w:r>
      <w:proofErr w:type="spellEnd"/>
      <w:r w:rsidR="00800C12" w:rsidRPr="008B23A1">
        <w:rPr>
          <w:rFonts w:cstheme="minorHAnsi"/>
          <w:sz w:val="24"/>
          <w:szCs w:val="24"/>
        </w:rPr>
        <w:t xml:space="preserve"> в </w:t>
      </w:r>
      <w:proofErr w:type="spellStart"/>
      <w:r w:rsidR="00800C12" w:rsidRPr="008B23A1">
        <w:rPr>
          <w:rFonts w:cstheme="minorHAnsi"/>
          <w:sz w:val="24"/>
          <w:szCs w:val="24"/>
        </w:rPr>
        <w:t>добро</w:t>
      </w:r>
      <w:proofErr w:type="spellEnd"/>
      <w:r w:rsidR="00800C1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800C12" w:rsidRPr="008B23A1">
        <w:rPr>
          <w:rFonts w:cstheme="minorHAnsi"/>
          <w:sz w:val="24"/>
          <w:szCs w:val="24"/>
        </w:rPr>
        <w:t>здраве</w:t>
      </w:r>
      <w:proofErr w:type="spellEnd"/>
      <w:r w:rsidR="00800C12" w:rsidRPr="008B23A1">
        <w:rPr>
          <w:rFonts w:cstheme="minorHAnsi"/>
          <w:sz w:val="24"/>
          <w:szCs w:val="24"/>
        </w:rPr>
        <w:t xml:space="preserve"> 2021</w:t>
      </w:r>
      <w:r w:rsidR="00800C12" w:rsidRPr="008B23A1">
        <w:rPr>
          <w:rFonts w:cstheme="minorHAnsi"/>
          <w:sz w:val="24"/>
          <w:szCs w:val="24"/>
          <w:lang w:val="bg-BG"/>
        </w:rPr>
        <w:t>-</w:t>
      </w:r>
      <w:r w:rsidR="00561302" w:rsidRPr="008B23A1">
        <w:rPr>
          <w:rFonts w:cstheme="minorHAnsi"/>
          <w:sz w:val="24"/>
          <w:szCs w:val="24"/>
        </w:rPr>
        <w:t xml:space="preserve">2030 г. </w:t>
      </w:r>
    </w:p>
    <w:p w14:paraId="74951F23" w14:textId="77777777" w:rsidR="00BA56C0" w:rsidRPr="008B23A1" w:rsidRDefault="003F1D08" w:rsidP="00800C1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B23A1">
        <w:rPr>
          <w:rFonts w:cstheme="minorHAnsi"/>
          <w:sz w:val="24"/>
          <w:szCs w:val="24"/>
          <w:lang w:val="bg-BG"/>
        </w:rPr>
        <w:t xml:space="preserve">Политики за </w:t>
      </w:r>
      <w:proofErr w:type="spellStart"/>
      <w:r w:rsidRPr="008B23A1">
        <w:rPr>
          <w:rFonts w:cstheme="minorHAnsi"/>
          <w:sz w:val="24"/>
          <w:szCs w:val="24"/>
        </w:rPr>
        <w:t>осигуряване</w:t>
      </w:r>
      <w:proofErr w:type="spellEnd"/>
      <w:r w:rsidRPr="008B23A1">
        <w:rPr>
          <w:rFonts w:cstheme="minorHAnsi"/>
          <w:sz w:val="24"/>
          <w:szCs w:val="24"/>
          <w:lang w:val="bg-BG"/>
        </w:rPr>
        <w:t xml:space="preserve"> на</w:t>
      </w:r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качеството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живот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възрастните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хора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остаряване</w:t>
      </w:r>
      <w:proofErr w:type="spellEnd"/>
      <w:r w:rsidRPr="008B23A1">
        <w:rPr>
          <w:rFonts w:cstheme="minorHAnsi"/>
          <w:sz w:val="24"/>
          <w:szCs w:val="24"/>
        </w:rPr>
        <w:t xml:space="preserve"> в </w:t>
      </w:r>
      <w:proofErr w:type="spellStart"/>
      <w:r w:rsidRPr="008B23A1">
        <w:rPr>
          <w:rFonts w:cstheme="minorHAnsi"/>
          <w:sz w:val="24"/>
          <w:szCs w:val="24"/>
        </w:rPr>
        <w:t>добро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здраве</w:t>
      </w:r>
      <w:proofErr w:type="spellEnd"/>
      <w:r w:rsidR="00BA56C0" w:rsidRPr="008B23A1">
        <w:rPr>
          <w:rFonts w:cstheme="minorHAnsi"/>
          <w:sz w:val="24"/>
          <w:szCs w:val="24"/>
          <w:lang w:val="bg-BG"/>
        </w:rPr>
        <w:t xml:space="preserve"> са </w:t>
      </w:r>
      <w:proofErr w:type="spellStart"/>
      <w:r w:rsidR="00BA56C0" w:rsidRPr="008B23A1">
        <w:rPr>
          <w:rFonts w:cstheme="minorHAnsi"/>
          <w:sz w:val="24"/>
          <w:szCs w:val="24"/>
        </w:rPr>
        <w:t>залегнали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в </w:t>
      </w:r>
      <w:r w:rsidR="00BA56C0" w:rsidRPr="008B23A1">
        <w:rPr>
          <w:rFonts w:cstheme="minorHAnsi"/>
          <w:sz w:val="24"/>
          <w:szCs w:val="24"/>
          <w:lang w:val="bg-BG"/>
        </w:rPr>
        <w:t xml:space="preserve">редица </w:t>
      </w:r>
      <w:proofErr w:type="spellStart"/>
      <w:r w:rsidR="00BA56C0" w:rsidRPr="008B23A1">
        <w:rPr>
          <w:rFonts w:cstheme="minorHAnsi"/>
          <w:sz w:val="24"/>
          <w:szCs w:val="24"/>
        </w:rPr>
        <w:t>национални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стратегически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документи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– </w:t>
      </w:r>
      <w:proofErr w:type="spellStart"/>
      <w:r w:rsidR="00BA56C0" w:rsidRPr="008B23A1">
        <w:rPr>
          <w:rFonts w:cstheme="minorHAnsi"/>
          <w:sz w:val="24"/>
          <w:szCs w:val="24"/>
        </w:rPr>
        <w:t>Национална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програма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за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развитие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Бъл</w:t>
      </w:r>
      <w:r w:rsidR="00D35080" w:rsidRPr="008B23A1">
        <w:rPr>
          <w:rFonts w:cstheme="minorHAnsi"/>
          <w:sz w:val="24"/>
          <w:szCs w:val="24"/>
        </w:rPr>
        <w:t xml:space="preserve">гария 2030, </w:t>
      </w:r>
      <w:proofErr w:type="spellStart"/>
      <w:r w:rsidR="00D35080" w:rsidRPr="008B23A1">
        <w:rPr>
          <w:rFonts w:cstheme="minorHAnsi"/>
          <w:sz w:val="24"/>
          <w:szCs w:val="24"/>
        </w:rPr>
        <w:t>Национален</w:t>
      </w:r>
      <w:proofErr w:type="spellEnd"/>
      <w:r w:rsidR="00D3508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D35080" w:rsidRPr="008B23A1">
        <w:rPr>
          <w:rFonts w:cstheme="minorHAnsi"/>
          <w:sz w:val="24"/>
          <w:szCs w:val="24"/>
        </w:rPr>
        <w:t>план</w:t>
      </w:r>
      <w:proofErr w:type="spellEnd"/>
      <w:r w:rsidR="00D3508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D35080" w:rsidRPr="008B23A1">
        <w:rPr>
          <w:rFonts w:cstheme="minorHAnsi"/>
          <w:sz w:val="24"/>
          <w:szCs w:val="24"/>
        </w:rPr>
        <w:t>за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възстановяване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BA56C0" w:rsidRPr="008B23A1">
        <w:rPr>
          <w:rFonts w:cstheme="minorHAnsi"/>
          <w:sz w:val="24"/>
          <w:szCs w:val="24"/>
        </w:rPr>
        <w:t>устойчивост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Република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България, </w:t>
      </w:r>
      <w:proofErr w:type="spellStart"/>
      <w:r w:rsidR="00BA56C0" w:rsidRPr="008B23A1">
        <w:rPr>
          <w:rFonts w:cstheme="minorHAnsi"/>
          <w:sz w:val="24"/>
          <w:szCs w:val="24"/>
        </w:rPr>
        <w:t>Национална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здравна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стратегия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2030, </w:t>
      </w:r>
      <w:proofErr w:type="spellStart"/>
      <w:r w:rsidR="00BA56C0" w:rsidRPr="008B23A1">
        <w:rPr>
          <w:rFonts w:cstheme="minorHAnsi"/>
          <w:sz w:val="24"/>
          <w:szCs w:val="24"/>
        </w:rPr>
        <w:t>Национална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стратегия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за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активен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живот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възрастните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хора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в България (2019 – 2030 г.), </w:t>
      </w:r>
      <w:proofErr w:type="spellStart"/>
      <w:r w:rsidR="00BA56C0" w:rsidRPr="008B23A1">
        <w:rPr>
          <w:rFonts w:cstheme="minorHAnsi"/>
          <w:sz w:val="24"/>
          <w:szCs w:val="24"/>
        </w:rPr>
        <w:lastRenderedPageBreak/>
        <w:t>Актуализирана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национална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стратегия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за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демографско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развитие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населението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в </w:t>
      </w:r>
      <w:proofErr w:type="spellStart"/>
      <w:r w:rsidR="00BA56C0" w:rsidRPr="008B23A1">
        <w:rPr>
          <w:rFonts w:cstheme="minorHAnsi"/>
          <w:sz w:val="24"/>
          <w:szCs w:val="24"/>
        </w:rPr>
        <w:t>Република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България (2012 г. - 2030 г.), </w:t>
      </w:r>
      <w:proofErr w:type="spellStart"/>
      <w:r w:rsidR="00BA56C0" w:rsidRPr="008B23A1">
        <w:rPr>
          <w:rFonts w:cstheme="minorHAnsi"/>
          <w:sz w:val="24"/>
          <w:szCs w:val="24"/>
        </w:rPr>
        <w:t>Национална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стратегия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за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дългосрочна</w:t>
      </w:r>
      <w:proofErr w:type="spellEnd"/>
      <w:r w:rsidR="00BA56C0" w:rsidRPr="008B23A1">
        <w:rPr>
          <w:rFonts w:cstheme="minorHAnsi"/>
          <w:sz w:val="24"/>
          <w:szCs w:val="24"/>
        </w:rPr>
        <w:t xml:space="preserve"> </w:t>
      </w:r>
      <w:proofErr w:type="spellStart"/>
      <w:r w:rsidR="00BA56C0" w:rsidRPr="008B23A1">
        <w:rPr>
          <w:rFonts w:cstheme="minorHAnsi"/>
          <w:sz w:val="24"/>
          <w:szCs w:val="24"/>
        </w:rPr>
        <w:t>грижа</w:t>
      </w:r>
      <w:proofErr w:type="spellEnd"/>
      <w:r w:rsidR="00BA56C0" w:rsidRPr="008B23A1">
        <w:rPr>
          <w:rFonts w:cstheme="minorHAnsi"/>
          <w:sz w:val="24"/>
          <w:szCs w:val="24"/>
          <w:lang w:val="bg-BG"/>
        </w:rPr>
        <w:t xml:space="preserve"> и др</w:t>
      </w:r>
      <w:r w:rsidR="00BA56C0" w:rsidRPr="008B23A1">
        <w:rPr>
          <w:rFonts w:cstheme="minorHAnsi"/>
          <w:sz w:val="24"/>
          <w:szCs w:val="24"/>
        </w:rPr>
        <w:t>.</w:t>
      </w:r>
    </w:p>
    <w:p w14:paraId="17D87A94" w14:textId="77777777" w:rsidR="00F9281C" w:rsidRPr="008B23A1" w:rsidRDefault="00BA56C0" w:rsidP="00800C12">
      <w:pPr>
        <w:spacing w:after="0"/>
        <w:ind w:firstLine="708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Въпреки </w:t>
      </w:r>
      <w:r w:rsidR="00F9281C" w:rsidRPr="008B23A1">
        <w:rPr>
          <w:rFonts w:cstheme="minorHAnsi"/>
          <w:sz w:val="24"/>
          <w:szCs w:val="24"/>
          <w:lang w:val="bg-BG"/>
        </w:rPr>
        <w:t>наличието на стратегическа рамка и реализицията на голям брой проекти за развитие на социални услуги за възрастните хора, в България все още има огромно разминаване меж</w:t>
      </w:r>
      <w:r w:rsidR="00800C12" w:rsidRPr="008B23A1">
        <w:rPr>
          <w:rFonts w:cstheme="minorHAnsi"/>
          <w:sz w:val="24"/>
          <w:szCs w:val="24"/>
          <w:lang w:val="bg-BG"/>
        </w:rPr>
        <w:t>ду потребностите на тези хора и възможността на държавата да им предостави</w:t>
      </w:r>
      <w:r w:rsidR="00F9281C" w:rsidRPr="008B23A1">
        <w:rPr>
          <w:rFonts w:cstheme="minorHAnsi"/>
          <w:sz w:val="24"/>
          <w:szCs w:val="24"/>
          <w:lang w:val="bg-BG"/>
        </w:rPr>
        <w:t xml:space="preserve"> услуги, адаптирани към техните </w:t>
      </w:r>
      <w:proofErr w:type="spellStart"/>
      <w:r w:rsidRPr="008B23A1">
        <w:rPr>
          <w:rFonts w:cstheme="minorHAnsi"/>
          <w:sz w:val="24"/>
          <w:szCs w:val="24"/>
        </w:rPr>
        <w:t>медицинските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психологическите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социалните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нужди</w:t>
      </w:r>
      <w:proofErr w:type="spellEnd"/>
      <w:r w:rsidRPr="008B23A1">
        <w:rPr>
          <w:rFonts w:cstheme="minorHAnsi"/>
          <w:sz w:val="24"/>
          <w:szCs w:val="24"/>
        </w:rPr>
        <w:t>.</w:t>
      </w:r>
      <w:r w:rsidR="00F9281C" w:rsidRPr="008B23A1">
        <w:rPr>
          <w:rFonts w:cstheme="minorHAnsi"/>
          <w:sz w:val="24"/>
          <w:szCs w:val="24"/>
          <w:lang w:val="bg-BG"/>
        </w:rPr>
        <w:t xml:space="preserve"> И изнесените пред обществото данни за наличието на „къщи на ужасите“ потвърди по болезнен начин този факт. </w:t>
      </w:r>
    </w:p>
    <w:p w14:paraId="66E332CA" w14:textId="77777777" w:rsidR="003F1D08" w:rsidRPr="008B23A1" w:rsidRDefault="00F9281C" w:rsidP="00800C1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B23A1">
        <w:rPr>
          <w:rFonts w:cstheme="minorHAnsi"/>
          <w:sz w:val="24"/>
          <w:szCs w:val="24"/>
          <w:lang w:val="bg-BG"/>
        </w:rPr>
        <w:t>Основните дефицити са в областта на т.н. дългосрочни гр</w:t>
      </w:r>
      <w:r w:rsidR="003F1D08" w:rsidRPr="008B23A1">
        <w:rPr>
          <w:rFonts w:cstheme="minorHAnsi"/>
          <w:sz w:val="24"/>
          <w:szCs w:val="24"/>
          <w:lang w:val="bg-BG"/>
        </w:rPr>
        <w:t>ижи в техния здравен компонент, свързани със специфичните здравни проблеми на възрастта, доколкото остаряването води до структурни и функционални изменения в човешкото тяло, които увеличават риска от заболяване.</w:t>
      </w:r>
      <w:r w:rsidR="00062E86" w:rsidRPr="008B23A1">
        <w:rPr>
          <w:rFonts w:cstheme="minorHAnsi"/>
          <w:sz w:val="24"/>
          <w:szCs w:val="24"/>
          <w:lang w:val="bg-BG"/>
        </w:rPr>
        <w:t xml:space="preserve"> </w:t>
      </w:r>
      <w:r w:rsidR="00F31512" w:rsidRPr="008B23A1">
        <w:rPr>
          <w:rFonts w:cstheme="minorHAnsi"/>
          <w:sz w:val="24"/>
          <w:szCs w:val="24"/>
          <w:lang w:val="bg-BG"/>
        </w:rPr>
        <w:t>О</w:t>
      </w:r>
      <w:r w:rsidR="005532AF" w:rsidRPr="008B23A1">
        <w:rPr>
          <w:rFonts w:cstheme="minorHAnsi"/>
          <w:sz w:val="24"/>
          <w:szCs w:val="24"/>
          <w:lang w:val="bg-BG"/>
        </w:rPr>
        <w:t>кончателните данни от третата вълна на европейското здравно интервю, проведено в България от НСИ</w:t>
      </w:r>
      <w:r w:rsidR="00F31512" w:rsidRPr="008B23A1">
        <w:rPr>
          <w:rFonts w:cstheme="minorHAnsi"/>
          <w:sz w:val="24"/>
          <w:szCs w:val="24"/>
          <w:lang w:val="bg-BG"/>
        </w:rPr>
        <w:t xml:space="preserve"> през 2019 г.</w:t>
      </w:r>
      <w:r w:rsidR="005532AF" w:rsidRPr="008B23A1">
        <w:rPr>
          <w:rFonts w:cstheme="minorHAnsi"/>
          <w:sz w:val="24"/>
          <w:szCs w:val="24"/>
          <w:lang w:val="bg-BG"/>
        </w:rPr>
        <w:t xml:space="preserve">, </w:t>
      </w:r>
      <w:r w:rsidR="00F31512" w:rsidRPr="008B23A1">
        <w:rPr>
          <w:rFonts w:cstheme="minorHAnsi"/>
          <w:sz w:val="24"/>
          <w:szCs w:val="24"/>
          <w:lang w:val="bg-BG"/>
        </w:rPr>
        <w:t xml:space="preserve">показват, </w:t>
      </w:r>
      <w:r w:rsidR="00D35080" w:rsidRPr="008B23A1">
        <w:rPr>
          <w:rFonts w:cstheme="minorHAnsi"/>
          <w:sz w:val="24"/>
          <w:szCs w:val="24"/>
          <w:lang w:val="bg-BG"/>
        </w:rPr>
        <w:t>че д</w:t>
      </w:r>
      <w:r w:rsidR="005532AF" w:rsidRPr="008B23A1">
        <w:rPr>
          <w:rFonts w:cstheme="minorHAnsi"/>
          <w:sz w:val="24"/>
          <w:szCs w:val="24"/>
          <w:lang w:val="bg-BG"/>
        </w:rPr>
        <w:t>елът на хората на 65 и повече години, които са имали продължително (хронично) забол</w:t>
      </w:r>
      <w:r w:rsidR="00062E86" w:rsidRPr="008B23A1">
        <w:rPr>
          <w:rFonts w:cstheme="minorHAnsi"/>
          <w:sz w:val="24"/>
          <w:szCs w:val="24"/>
          <w:lang w:val="bg-BG"/>
        </w:rPr>
        <w:t xml:space="preserve">яване или здравословен проблем </w:t>
      </w:r>
      <w:r w:rsidR="00062E86" w:rsidRPr="008B23A1">
        <w:rPr>
          <w:rFonts w:cstheme="minorHAnsi"/>
          <w:sz w:val="24"/>
          <w:szCs w:val="24"/>
          <w:lang w:val="en-US"/>
        </w:rPr>
        <w:t xml:space="preserve">e </w:t>
      </w:r>
      <w:r w:rsidR="00D35080" w:rsidRPr="008B23A1">
        <w:rPr>
          <w:rFonts w:cstheme="minorHAnsi"/>
          <w:sz w:val="24"/>
          <w:szCs w:val="24"/>
          <w:lang w:val="bg-BG"/>
        </w:rPr>
        <w:t>60,5%,</w:t>
      </w:r>
      <w:r w:rsidR="00062E86" w:rsidRPr="008B23A1">
        <w:rPr>
          <w:rFonts w:cstheme="minorHAnsi"/>
          <w:sz w:val="24"/>
          <w:szCs w:val="24"/>
          <w:lang w:val="bg-BG"/>
        </w:rPr>
        <w:t xml:space="preserve"> като п</w:t>
      </w:r>
      <w:r w:rsidR="003F1D08" w:rsidRPr="008B23A1">
        <w:rPr>
          <w:rFonts w:cstheme="minorHAnsi"/>
          <w:sz w:val="24"/>
          <w:szCs w:val="24"/>
          <w:lang w:val="bg-BG"/>
        </w:rPr>
        <w:t xml:space="preserve">овечето хора след 65 години са носители на няколко, обикновено компенсирани хронични неинфекциозни заболявания. </w:t>
      </w:r>
    </w:p>
    <w:p w14:paraId="352063F9" w14:textId="77777777" w:rsidR="00F31512" w:rsidRPr="008B23A1" w:rsidRDefault="00A21C29" w:rsidP="00800C12">
      <w:pPr>
        <w:spacing w:after="0"/>
        <w:ind w:firstLine="706"/>
        <w:jc w:val="both"/>
        <w:rPr>
          <w:rFonts w:cstheme="minorHAnsi"/>
          <w:sz w:val="24"/>
          <w:szCs w:val="24"/>
          <w:lang w:val="bg-BG"/>
        </w:rPr>
      </w:pPr>
      <w:proofErr w:type="spellStart"/>
      <w:r w:rsidRPr="008B23A1">
        <w:rPr>
          <w:rFonts w:cstheme="minorHAnsi"/>
          <w:sz w:val="24"/>
          <w:szCs w:val="24"/>
        </w:rPr>
        <w:t>По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данни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Националния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център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за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обществено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здраве</w:t>
      </w:r>
      <w:proofErr w:type="spellEnd"/>
      <w:r w:rsidRPr="008B23A1">
        <w:rPr>
          <w:rFonts w:cstheme="minorHAnsi"/>
          <w:sz w:val="24"/>
          <w:szCs w:val="24"/>
        </w:rPr>
        <w:t xml:space="preserve"> и </w:t>
      </w:r>
      <w:proofErr w:type="spellStart"/>
      <w:r w:rsidRPr="008B23A1">
        <w:rPr>
          <w:rFonts w:cstheme="minorHAnsi"/>
          <w:sz w:val="24"/>
          <w:szCs w:val="24"/>
        </w:rPr>
        <w:t>анализи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ежегодно</w:t>
      </w:r>
      <w:proofErr w:type="spellEnd"/>
      <w:r w:rsidRPr="008B23A1">
        <w:rPr>
          <w:rFonts w:cstheme="minorHAnsi"/>
          <w:sz w:val="24"/>
          <w:szCs w:val="24"/>
        </w:rPr>
        <w:t xml:space="preserve"> в </w:t>
      </w:r>
      <w:proofErr w:type="spellStart"/>
      <w:r w:rsidRPr="008B23A1">
        <w:rPr>
          <w:rFonts w:cstheme="minorHAnsi"/>
          <w:sz w:val="24"/>
          <w:szCs w:val="24"/>
        </w:rPr>
        <w:t>болницит</w:t>
      </w:r>
      <w:r w:rsidR="00062E86" w:rsidRPr="008B23A1">
        <w:rPr>
          <w:rFonts w:cstheme="minorHAnsi"/>
          <w:sz w:val="24"/>
          <w:szCs w:val="24"/>
        </w:rPr>
        <w:t>е</w:t>
      </w:r>
      <w:proofErr w:type="spellEnd"/>
      <w:r w:rsidR="00062E86" w:rsidRPr="008B23A1">
        <w:rPr>
          <w:rFonts w:cstheme="minorHAnsi"/>
          <w:sz w:val="24"/>
          <w:szCs w:val="24"/>
        </w:rPr>
        <w:t xml:space="preserve"> </w:t>
      </w:r>
      <w:proofErr w:type="spellStart"/>
      <w:r w:rsidR="00062E86" w:rsidRPr="008B23A1">
        <w:rPr>
          <w:rFonts w:cstheme="minorHAnsi"/>
          <w:sz w:val="24"/>
          <w:szCs w:val="24"/>
        </w:rPr>
        <w:t>за</w:t>
      </w:r>
      <w:proofErr w:type="spellEnd"/>
      <w:r w:rsidR="00062E86" w:rsidRPr="008B23A1">
        <w:rPr>
          <w:rFonts w:cstheme="minorHAnsi"/>
          <w:sz w:val="24"/>
          <w:szCs w:val="24"/>
        </w:rPr>
        <w:t xml:space="preserve"> </w:t>
      </w:r>
      <w:proofErr w:type="spellStart"/>
      <w:r w:rsidR="00062E86" w:rsidRPr="008B23A1">
        <w:rPr>
          <w:rFonts w:cstheme="minorHAnsi"/>
          <w:sz w:val="24"/>
          <w:szCs w:val="24"/>
        </w:rPr>
        <w:t>активно</w:t>
      </w:r>
      <w:proofErr w:type="spellEnd"/>
      <w:r w:rsidR="00062E86" w:rsidRPr="008B23A1">
        <w:rPr>
          <w:rFonts w:cstheme="minorHAnsi"/>
          <w:sz w:val="24"/>
          <w:szCs w:val="24"/>
        </w:rPr>
        <w:t xml:space="preserve"> </w:t>
      </w:r>
      <w:proofErr w:type="spellStart"/>
      <w:r w:rsidR="00062E86" w:rsidRPr="008B23A1">
        <w:rPr>
          <w:rFonts w:cstheme="minorHAnsi"/>
          <w:sz w:val="24"/>
          <w:szCs w:val="24"/>
        </w:rPr>
        <w:t>лечение</w:t>
      </w:r>
      <w:proofErr w:type="spellEnd"/>
      <w:r w:rsidR="00062E86" w:rsidRPr="008B23A1">
        <w:rPr>
          <w:rFonts w:cstheme="minorHAnsi"/>
          <w:sz w:val="24"/>
          <w:szCs w:val="24"/>
        </w:rPr>
        <w:t xml:space="preserve"> в </w:t>
      </w:r>
      <w:r w:rsidR="00062E86" w:rsidRPr="008B23A1">
        <w:rPr>
          <w:rFonts w:cstheme="minorHAnsi"/>
          <w:sz w:val="24"/>
          <w:szCs w:val="24"/>
          <w:lang w:val="bg-BG"/>
        </w:rPr>
        <w:t>България</w:t>
      </w:r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извършват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над</w:t>
      </w:r>
      <w:proofErr w:type="spellEnd"/>
      <w:r w:rsidRPr="008B23A1">
        <w:rPr>
          <w:rFonts w:cstheme="minorHAnsi"/>
          <w:sz w:val="24"/>
          <w:szCs w:val="24"/>
        </w:rPr>
        <w:t xml:space="preserve"> 2 </w:t>
      </w:r>
      <w:proofErr w:type="spellStart"/>
      <w:r w:rsidRPr="008B23A1">
        <w:rPr>
          <w:rFonts w:cstheme="minorHAnsi"/>
          <w:sz w:val="24"/>
          <w:szCs w:val="24"/>
        </w:rPr>
        <w:t>млн</w:t>
      </w:r>
      <w:proofErr w:type="spellEnd"/>
      <w:r w:rsidRPr="008B23A1">
        <w:rPr>
          <w:rFonts w:cstheme="minorHAnsi"/>
          <w:sz w:val="24"/>
          <w:szCs w:val="24"/>
        </w:rPr>
        <w:t xml:space="preserve">. </w:t>
      </w:r>
      <w:proofErr w:type="spellStart"/>
      <w:r w:rsidRPr="008B23A1">
        <w:rPr>
          <w:rFonts w:cstheme="minorHAnsi"/>
          <w:sz w:val="24"/>
          <w:szCs w:val="24"/>
        </w:rPr>
        <w:t>хоспитализации</w:t>
      </w:r>
      <w:proofErr w:type="spellEnd"/>
      <w:r w:rsidRPr="008B23A1">
        <w:rPr>
          <w:rFonts w:cstheme="minorHAnsi"/>
          <w:sz w:val="24"/>
          <w:szCs w:val="24"/>
        </w:rPr>
        <w:t xml:space="preserve">, </w:t>
      </w:r>
      <w:proofErr w:type="spellStart"/>
      <w:r w:rsidRPr="008B23A1">
        <w:rPr>
          <w:rFonts w:cstheme="minorHAnsi"/>
          <w:sz w:val="24"/>
          <w:szCs w:val="24"/>
        </w:rPr>
        <w:t>от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които</w:t>
      </w:r>
      <w:proofErr w:type="spellEnd"/>
      <w:r w:rsidRPr="008B23A1">
        <w:rPr>
          <w:rFonts w:cstheme="minorHAnsi"/>
          <w:sz w:val="24"/>
          <w:szCs w:val="24"/>
        </w:rPr>
        <w:t xml:space="preserve"> 45 % </w:t>
      </w:r>
      <w:proofErr w:type="spellStart"/>
      <w:r w:rsidRPr="008B23A1">
        <w:rPr>
          <w:rFonts w:cstheme="minorHAnsi"/>
          <w:sz w:val="24"/>
          <w:szCs w:val="24"/>
        </w:rPr>
        <w:t>са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свързани</w:t>
      </w:r>
      <w:proofErr w:type="spellEnd"/>
      <w:r w:rsidRPr="008B23A1">
        <w:rPr>
          <w:rFonts w:cstheme="minorHAnsi"/>
          <w:sz w:val="24"/>
          <w:szCs w:val="24"/>
        </w:rPr>
        <w:t xml:space="preserve"> с </w:t>
      </w:r>
      <w:proofErr w:type="spellStart"/>
      <w:r w:rsidRPr="008B23A1">
        <w:rPr>
          <w:rFonts w:cstheme="minorHAnsi"/>
          <w:sz w:val="24"/>
          <w:szCs w:val="24"/>
        </w:rPr>
        <w:t>лечение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лица</w:t>
      </w:r>
      <w:proofErr w:type="spellEnd"/>
      <w:r w:rsidRPr="008B23A1">
        <w:rPr>
          <w:rFonts w:cstheme="minorHAnsi"/>
          <w:sz w:val="24"/>
          <w:szCs w:val="24"/>
        </w:rPr>
        <w:t xml:space="preserve"> </w:t>
      </w:r>
      <w:proofErr w:type="spellStart"/>
      <w:r w:rsidRPr="008B23A1">
        <w:rPr>
          <w:rFonts w:cstheme="minorHAnsi"/>
          <w:sz w:val="24"/>
          <w:szCs w:val="24"/>
        </w:rPr>
        <w:t>над</w:t>
      </w:r>
      <w:proofErr w:type="spellEnd"/>
      <w:r w:rsidRPr="008B23A1">
        <w:rPr>
          <w:rFonts w:cstheme="minorHAnsi"/>
          <w:sz w:val="24"/>
          <w:szCs w:val="24"/>
        </w:rPr>
        <w:t xml:space="preserve"> 65 г.</w:t>
      </w:r>
      <w:r w:rsidRPr="008B23A1">
        <w:rPr>
          <w:rFonts w:cstheme="minorHAnsi"/>
          <w:sz w:val="24"/>
          <w:szCs w:val="24"/>
          <w:lang w:val="bg-BG"/>
        </w:rPr>
        <w:t xml:space="preserve"> По последни данни за 2023 г. честотата на хоспитализациите в тази възрастова група е </w:t>
      </w:r>
      <w:r w:rsidRPr="008B23A1">
        <w:rPr>
          <w:rFonts w:eastAsia="Calibri" w:cstheme="minorHAnsi"/>
          <w:sz w:val="24"/>
          <w:szCs w:val="24"/>
        </w:rPr>
        <w:t xml:space="preserve">79 732 </w:t>
      </w:r>
      <w:proofErr w:type="spellStart"/>
      <w:r w:rsidRPr="008B23A1">
        <w:rPr>
          <w:rFonts w:eastAsia="Calibri" w:cstheme="minorHAnsi"/>
          <w:sz w:val="24"/>
          <w:szCs w:val="24"/>
        </w:rPr>
        <w:t>на</w:t>
      </w:r>
      <w:proofErr w:type="spellEnd"/>
      <w:r w:rsidRPr="008B23A1">
        <w:rPr>
          <w:rFonts w:eastAsia="Calibri" w:cstheme="minorHAnsi"/>
          <w:sz w:val="24"/>
          <w:szCs w:val="24"/>
        </w:rPr>
        <w:t xml:space="preserve"> 100 000 </w:t>
      </w:r>
      <w:proofErr w:type="spellStart"/>
      <w:r w:rsidRPr="008B23A1">
        <w:rPr>
          <w:rFonts w:eastAsia="Calibri" w:cstheme="minorHAnsi"/>
          <w:sz w:val="24"/>
          <w:szCs w:val="24"/>
        </w:rPr>
        <w:t>души</w:t>
      </w:r>
      <w:proofErr w:type="spellEnd"/>
      <w:r w:rsidRPr="008B23A1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8B23A1">
        <w:rPr>
          <w:rFonts w:eastAsia="Calibri" w:cstheme="minorHAnsi"/>
          <w:sz w:val="24"/>
          <w:szCs w:val="24"/>
        </w:rPr>
        <w:t>т.е</w:t>
      </w:r>
      <w:proofErr w:type="spellEnd"/>
      <w:r w:rsidRPr="008B23A1">
        <w:rPr>
          <w:rFonts w:eastAsia="Calibri" w:cstheme="minorHAnsi"/>
          <w:sz w:val="24"/>
          <w:szCs w:val="24"/>
        </w:rPr>
        <w:t xml:space="preserve">. </w:t>
      </w:r>
      <w:r w:rsidRPr="008B23A1">
        <w:rPr>
          <w:rFonts w:eastAsia="Calibri" w:cstheme="minorHAnsi"/>
          <w:sz w:val="24"/>
          <w:szCs w:val="24"/>
          <w:lang w:val="bg-BG"/>
        </w:rPr>
        <w:t>от 4 възрастни лица над 65 г. 3-ма са имали нужда от активно болнично лечение през годината.</w:t>
      </w:r>
    </w:p>
    <w:p w14:paraId="36A81336" w14:textId="77777777" w:rsidR="00F31512" w:rsidRPr="008B23A1" w:rsidRDefault="00F31512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Най-честите причини за хоспитализация при възрастните хора над 65 г. са болестите на органите на кръвообръщението (сърдечно-съдови и мозъчно-съдови заболявания, в т.ч. мозъчен инсулт), онкологични заболявания, болести на костно-мускулна</w:t>
      </w:r>
      <w:r w:rsidR="00A21C29" w:rsidRPr="008B23A1">
        <w:rPr>
          <w:rFonts w:eastAsia="Calibri" w:cstheme="minorHAnsi"/>
          <w:sz w:val="24"/>
          <w:szCs w:val="24"/>
          <w:lang w:val="bg-BG"/>
        </w:rPr>
        <w:t>та система, травми и др., изискващи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по-продължителен период на лечение и възстановяване, който не може да бъде осигурен в болниците за активно лечение, където средният престой на 1 </w:t>
      </w:r>
      <w:r w:rsidR="00A21C29" w:rsidRPr="008B23A1">
        <w:rPr>
          <w:rFonts w:eastAsia="Calibri" w:cstheme="minorHAnsi"/>
          <w:sz w:val="24"/>
          <w:szCs w:val="24"/>
          <w:lang w:val="bg-BG"/>
        </w:rPr>
        <w:t>болен варира между 4 и 5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дни.</w:t>
      </w:r>
    </w:p>
    <w:p w14:paraId="68F5CA98" w14:textId="77777777" w:rsidR="00233AE1" w:rsidRPr="008B23A1" w:rsidRDefault="00F31512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По данни, събрани от болнични заведения за активно лечение, най-малко 5 % от хоспитализираните възрастни пациенти над 65 години се нуждаят след изписването от продължаване на тяхното лечение в структури за продължително лечение, където те да останат до тяхното възстановяване и стабилизиране до степен, позво</w:t>
      </w:r>
      <w:r w:rsidR="00062E86" w:rsidRPr="008B23A1">
        <w:rPr>
          <w:rFonts w:eastAsia="Calibri" w:cstheme="minorHAnsi"/>
          <w:sz w:val="24"/>
          <w:szCs w:val="24"/>
          <w:lang w:val="bg-BG"/>
        </w:rPr>
        <w:t>ляваща да се завърнат в своя дом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. </w:t>
      </w:r>
    </w:p>
    <w:p w14:paraId="386A0A1A" w14:textId="77777777" w:rsidR="001F1228" w:rsidRPr="008B23A1" w:rsidRDefault="001F1228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 xml:space="preserve">При част от възрастните пациенти, въпреки проведеното активно и последващо продължително лечение, са налице остатъчни здравни проблеми, изискващи </w:t>
      </w:r>
      <w:r w:rsidR="000D1B95" w:rsidRPr="008B23A1">
        <w:rPr>
          <w:rFonts w:eastAsia="Calibri" w:cstheme="minorHAnsi"/>
          <w:sz w:val="24"/>
          <w:szCs w:val="24"/>
          <w:lang w:val="bg-BG"/>
        </w:rPr>
        <w:t>дългосрочни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медицински грижи с голяма продължителност, в т.ч. палиативни грижи.</w:t>
      </w:r>
    </w:p>
    <w:p w14:paraId="57125BF7" w14:textId="77777777" w:rsidR="001F1228" w:rsidRPr="008B23A1" w:rsidRDefault="001F1228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Така се идентифицират две груп</w:t>
      </w:r>
      <w:r w:rsidR="00003BA2" w:rsidRPr="008B23A1">
        <w:rPr>
          <w:rFonts w:eastAsia="Calibri" w:cstheme="minorHAnsi"/>
          <w:sz w:val="24"/>
          <w:szCs w:val="24"/>
          <w:lang w:val="bg-BG"/>
        </w:rPr>
        <w:t>и възрастни пациенти с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потребност от </w:t>
      </w:r>
      <w:r w:rsidR="00003BA2" w:rsidRPr="008B23A1">
        <w:rPr>
          <w:rFonts w:eastAsia="Calibri" w:cstheme="minorHAnsi"/>
          <w:sz w:val="24"/>
          <w:szCs w:val="24"/>
          <w:lang w:val="bg-BG"/>
        </w:rPr>
        <w:t xml:space="preserve">дългосрочни </w:t>
      </w:r>
      <w:r w:rsidRPr="008B23A1">
        <w:rPr>
          <w:rFonts w:eastAsia="Calibri" w:cstheme="minorHAnsi"/>
          <w:sz w:val="24"/>
          <w:szCs w:val="24"/>
          <w:lang w:val="bg-BG"/>
        </w:rPr>
        <w:t>медицински грижи, които в момента здравната система не осигурява:</w:t>
      </w:r>
    </w:p>
    <w:p w14:paraId="765EE85F" w14:textId="77777777" w:rsidR="00504306" w:rsidRPr="008B23A1" w:rsidRDefault="001F1228" w:rsidP="00800C12">
      <w:pPr>
        <w:pStyle w:val="ListParagraph"/>
        <w:numPr>
          <w:ilvl w:val="0"/>
          <w:numId w:val="2"/>
        </w:numPr>
        <w:spacing w:after="0"/>
        <w:jc w:val="both"/>
        <w:rPr>
          <w:rFonts w:eastAsia="Calibri" w:cstheme="minorHAnsi"/>
          <w:b/>
          <w:sz w:val="24"/>
          <w:szCs w:val="24"/>
          <w:lang w:val="bg-BG"/>
        </w:rPr>
      </w:pPr>
      <w:r w:rsidRPr="008B23A1">
        <w:rPr>
          <w:rFonts w:eastAsia="Calibri" w:cstheme="minorHAnsi"/>
          <w:b/>
          <w:sz w:val="24"/>
          <w:szCs w:val="24"/>
          <w:lang w:val="bg-BG"/>
        </w:rPr>
        <w:t>Възрастни пациенти с потребност от продължително лечение след проведено активно такова</w:t>
      </w:r>
      <w:r w:rsidR="00E65280" w:rsidRPr="008B23A1">
        <w:rPr>
          <w:rFonts w:eastAsia="Calibri" w:cstheme="minorHAnsi"/>
          <w:b/>
          <w:sz w:val="24"/>
          <w:szCs w:val="24"/>
          <w:lang w:val="bg-BG"/>
        </w:rPr>
        <w:t xml:space="preserve"> в рамките на 15 до 20 дни.</w:t>
      </w:r>
      <w:r w:rsidR="00504306" w:rsidRPr="008B23A1">
        <w:rPr>
          <w:rFonts w:eastAsia="Calibri" w:cstheme="minorHAnsi"/>
          <w:b/>
          <w:sz w:val="24"/>
          <w:szCs w:val="24"/>
          <w:lang w:val="bg-BG"/>
        </w:rPr>
        <w:t xml:space="preserve"> </w:t>
      </w:r>
    </w:p>
    <w:p w14:paraId="320575F4" w14:textId="77777777" w:rsidR="00AB3084" w:rsidRPr="008B23A1" w:rsidRDefault="00AB3084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 xml:space="preserve">Това са над 50 000 възрастни хора годишно, грижите за които в момента се поемат почти изцяло от техните семейства или от различни легални или нелегални институции за настаняване на възрастни хора (хосписи, домове за стари хора и др.), които не могат да предоставят пълноценни медицински грижи. Месечните личните </w:t>
      </w:r>
      <w:r w:rsidRPr="008B23A1">
        <w:rPr>
          <w:rFonts w:eastAsia="Calibri" w:cstheme="minorHAnsi"/>
          <w:sz w:val="24"/>
          <w:szCs w:val="24"/>
          <w:lang w:val="bg-BG"/>
        </w:rPr>
        <w:lastRenderedPageBreak/>
        <w:t>разходи на семействата за настаняване на един такъв болен възрастен човек в частен хоспис или друго място за настаняване са над 1500 лв.</w:t>
      </w:r>
    </w:p>
    <w:p w14:paraId="168AEBC8" w14:textId="77777777" w:rsidR="00AB3084" w:rsidRPr="008B23A1" w:rsidRDefault="00AB3084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Липсата на възможност за продължаване на лечението и грижите след проведено активно лечение води до непълно възстановяване на болните, повторно влошаване на състоянието им, инвалидизация, а нерядко и смърт, която би могла да бъде предотвратена при адекватно продължително лечение в болнични условия.</w:t>
      </w:r>
    </w:p>
    <w:p w14:paraId="6A841ED6" w14:textId="77777777" w:rsidR="00AB3084" w:rsidRPr="008B23A1" w:rsidRDefault="00AB3084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За покриване на нуждите на тези хора е необходим капацитет от около 2700 легла за продължително лечение.</w:t>
      </w:r>
    </w:p>
    <w:p w14:paraId="699FE702" w14:textId="77777777" w:rsidR="008C3525" w:rsidRPr="008B23A1" w:rsidRDefault="00E65280" w:rsidP="00800C12">
      <w:pPr>
        <w:pStyle w:val="ListParagraph"/>
        <w:numPr>
          <w:ilvl w:val="0"/>
          <w:numId w:val="2"/>
        </w:numPr>
        <w:spacing w:after="0"/>
        <w:jc w:val="both"/>
        <w:rPr>
          <w:rFonts w:eastAsia="Calibri" w:cstheme="minorHAnsi"/>
          <w:b/>
          <w:sz w:val="24"/>
          <w:szCs w:val="24"/>
          <w:lang w:val="bg-BG"/>
        </w:rPr>
      </w:pPr>
      <w:r w:rsidRPr="008B23A1">
        <w:rPr>
          <w:rFonts w:eastAsia="Calibri" w:cstheme="minorHAnsi"/>
          <w:b/>
          <w:sz w:val="24"/>
          <w:szCs w:val="24"/>
          <w:lang w:val="bg-BG"/>
        </w:rPr>
        <w:t xml:space="preserve">Възрастни пациенти с тежки соматични или психосоматични заболявания и състояния, в т.ч. инвалидизирани болни, които имат потребност от </w:t>
      </w:r>
      <w:r w:rsidR="00504306" w:rsidRPr="008B23A1">
        <w:rPr>
          <w:rFonts w:eastAsia="Calibri" w:cstheme="minorHAnsi"/>
          <w:b/>
          <w:sz w:val="24"/>
          <w:szCs w:val="24"/>
          <w:lang w:val="bg-BG"/>
        </w:rPr>
        <w:t xml:space="preserve">по-продължително или </w:t>
      </w:r>
      <w:r w:rsidRPr="008B23A1">
        <w:rPr>
          <w:rFonts w:eastAsia="Calibri" w:cstheme="minorHAnsi"/>
          <w:b/>
          <w:sz w:val="24"/>
          <w:szCs w:val="24"/>
          <w:lang w:val="bg-BG"/>
        </w:rPr>
        <w:t>постоянно медицинско наблюдение и грижи с ниска интензивност.</w:t>
      </w:r>
      <w:r w:rsidR="00504306" w:rsidRPr="008B23A1">
        <w:rPr>
          <w:rFonts w:eastAsia="Calibri" w:cstheme="minorHAnsi"/>
          <w:b/>
          <w:sz w:val="24"/>
          <w:szCs w:val="24"/>
          <w:lang w:val="bg-BG"/>
        </w:rPr>
        <w:t xml:space="preserve"> </w:t>
      </w:r>
    </w:p>
    <w:p w14:paraId="366E2DD1" w14:textId="77777777" w:rsidR="00B46057" w:rsidRPr="008B23A1" w:rsidRDefault="00504306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 xml:space="preserve">Броят на </w:t>
      </w:r>
      <w:r w:rsidR="008C3525" w:rsidRPr="008B23A1">
        <w:rPr>
          <w:rFonts w:eastAsia="Calibri" w:cstheme="minorHAnsi"/>
          <w:sz w:val="24"/>
          <w:szCs w:val="24"/>
          <w:lang w:val="bg-BG"/>
        </w:rPr>
        <w:t>тези възрастни хора, към момента трудно би могъл да бъде определен с точност, тъй като този вид услуга не е наличен и няма</w:t>
      </w:r>
      <w:r w:rsidR="00AB3084" w:rsidRPr="008B23A1">
        <w:rPr>
          <w:rFonts w:eastAsia="Calibri" w:cstheme="minorHAnsi"/>
          <w:sz w:val="24"/>
          <w:szCs w:val="24"/>
          <w:lang w:val="bg-BG"/>
        </w:rPr>
        <w:t xml:space="preserve"> обективни статистически данни.</w:t>
      </w:r>
    </w:p>
    <w:p w14:paraId="3BE06898" w14:textId="77777777" w:rsidR="00AB3084" w:rsidRPr="008B23A1" w:rsidRDefault="00AB3084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 xml:space="preserve">Ориентировъчни в това отношение са данните за броя на лицата с призната трайно намалена работоспособност / вид и степен на увреждане (инвалидизация) на възраст над 65 години, които по данни на НЦОЗА през 2023 г. са </w:t>
      </w:r>
      <w:r w:rsidR="0060020C" w:rsidRPr="008B23A1">
        <w:rPr>
          <w:rFonts w:eastAsia="Calibri" w:cstheme="minorHAnsi"/>
          <w:sz w:val="24"/>
          <w:szCs w:val="24"/>
          <w:lang w:val="bg-BG"/>
        </w:rPr>
        <w:t xml:space="preserve">били </w:t>
      </w:r>
      <w:r w:rsidRPr="008B23A1">
        <w:rPr>
          <w:rFonts w:eastAsia="Calibri" w:cstheme="minorHAnsi"/>
          <w:sz w:val="24"/>
          <w:szCs w:val="24"/>
          <w:lang w:val="bg-BG"/>
        </w:rPr>
        <w:t>47 379, като от тях 23 327 са лицата с над 90 % инвалидизация със или без нужда от помощ при обслужване. Голяма част от тези възрастни хора има постоянна нужда от медицински грижи в общността и/или в стационарни условия от компетентен медицински персонал.</w:t>
      </w:r>
    </w:p>
    <w:p w14:paraId="2B195581" w14:textId="77777777" w:rsidR="008C3525" w:rsidRPr="008B23A1" w:rsidRDefault="008C3525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60020C" w:rsidRPr="008B23A1">
        <w:rPr>
          <w:rFonts w:eastAsia="Calibri" w:cstheme="minorHAnsi"/>
          <w:sz w:val="24"/>
          <w:szCs w:val="24"/>
          <w:lang w:val="bg-BG"/>
        </w:rPr>
        <w:t>По данни на OECD,</w:t>
      </w:r>
      <w:r w:rsidR="00EB1B8C"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60020C" w:rsidRPr="008B23A1">
        <w:rPr>
          <w:rFonts w:eastAsia="Calibri" w:cstheme="minorHAnsi"/>
          <w:sz w:val="24"/>
          <w:szCs w:val="24"/>
          <w:lang w:val="bg-BG"/>
        </w:rPr>
        <w:t xml:space="preserve">в държавите от общността </w:t>
      </w:r>
      <w:r w:rsidR="00EB1B8C" w:rsidRPr="008B23A1">
        <w:rPr>
          <w:rFonts w:eastAsia="Calibri" w:cstheme="minorHAnsi"/>
          <w:sz w:val="24"/>
          <w:szCs w:val="24"/>
          <w:lang w:val="bg-BG"/>
        </w:rPr>
        <w:t xml:space="preserve">броят на местата за настаняване на възрастни хора в болнични заведения с възможност за </w:t>
      </w:r>
      <w:r w:rsidR="000D1B95" w:rsidRPr="008B23A1">
        <w:rPr>
          <w:rFonts w:eastAsia="Calibri" w:cstheme="minorHAnsi"/>
          <w:sz w:val="24"/>
          <w:szCs w:val="24"/>
          <w:lang w:val="bg-BG"/>
        </w:rPr>
        <w:t>дългосрочни</w:t>
      </w:r>
      <w:r w:rsidR="00EB1B8C" w:rsidRPr="008B23A1">
        <w:rPr>
          <w:rFonts w:eastAsia="Calibri" w:cstheme="minorHAnsi"/>
          <w:sz w:val="24"/>
          <w:szCs w:val="24"/>
          <w:lang w:val="bg-BG"/>
        </w:rPr>
        <w:t xml:space="preserve"> медицински грижи</w:t>
      </w:r>
      <w:r w:rsidR="0060020C" w:rsidRPr="008B23A1">
        <w:rPr>
          <w:rFonts w:eastAsia="Calibri" w:cstheme="minorHAnsi"/>
          <w:sz w:val="24"/>
          <w:szCs w:val="24"/>
          <w:lang w:val="bg-BG"/>
        </w:rPr>
        <w:t xml:space="preserve"> е 4 на 1000 души</w:t>
      </w:r>
      <w:r w:rsidR="00EB1B8C" w:rsidRPr="008B23A1">
        <w:rPr>
          <w:rFonts w:eastAsia="Calibri" w:cstheme="minorHAnsi"/>
          <w:sz w:val="24"/>
          <w:szCs w:val="24"/>
          <w:lang w:val="bg-BG"/>
        </w:rPr>
        <w:t>.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EB1B8C" w:rsidRPr="008B23A1">
        <w:rPr>
          <w:rFonts w:eastAsia="Calibri" w:cstheme="minorHAnsi"/>
          <w:sz w:val="24"/>
          <w:szCs w:val="24"/>
          <w:lang w:val="bg-BG"/>
        </w:rPr>
        <w:t>България при настоящата численост на възрастното население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би следвало да разполага с май-малко</w:t>
      </w:r>
      <w:r w:rsidR="00EB1B8C" w:rsidRPr="008B23A1">
        <w:rPr>
          <w:rFonts w:eastAsia="Calibri" w:cstheme="minorHAnsi"/>
          <w:sz w:val="24"/>
          <w:szCs w:val="24"/>
          <w:lang w:val="bg-BG"/>
        </w:rPr>
        <w:t xml:space="preserve"> 6 200 болнични легла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за </w:t>
      </w:r>
      <w:r w:rsidR="000D1B95" w:rsidRPr="008B23A1">
        <w:rPr>
          <w:rFonts w:eastAsia="Calibri" w:cstheme="minorHAnsi"/>
          <w:sz w:val="24"/>
          <w:szCs w:val="24"/>
          <w:lang w:val="bg-BG"/>
        </w:rPr>
        <w:t>дългосрочни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медицински грижи</w:t>
      </w:r>
      <w:r w:rsidR="00EB1B8C" w:rsidRPr="008B23A1">
        <w:rPr>
          <w:rFonts w:eastAsia="Calibri" w:cstheme="minorHAnsi"/>
          <w:sz w:val="24"/>
          <w:szCs w:val="24"/>
          <w:lang w:val="bg-BG"/>
        </w:rPr>
        <w:t>.</w:t>
      </w:r>
    </w:p>
    <w:p w14:paraId="05F1F7E1" w14:textId="77777777" w:rsidR="0060020C" w:rsidRPr="008B23A1" w:rsidRDefault="0060020C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Осигуряването на адекватни грижи за тези две категории възрастни граждани може да се осъществи само от компентен медицински персонал, който е наличен само в системата за болнична помощ.</w:t>
      </w:r>
    </w:p>
    <w:p w14:paraId="2EBF2731" w14:textId="77777777" w:rsidR="0060020C" w:rsidRPr="008B23A1" w:rsidRDefault="0060020C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Проблемите, свързани с осигуряването на капацитет за медицински грижи за такива пациенти съществуват във всички европейски държави, предвид общата тенденция на застаряване на населението, но ако България има сравнително предимство в това</w:t>
      </w:r>
      <w:r w:rsidR="006B3361" w:rsidRPr="008B23A1">
        <w:rPr>
          <w:rFonts w:eastAsia="Calibri" w:cstheme="minorHAnsi"/>
          <w:sz w:val="24"/>
          <w:szCs w:val="24"/>
          <w:lang w:val="bg-BG"/>
        </w:rPr>
        <w:t xml:space="preserve"> отношение, то е в наличието на добре </w:t>
      </w:r>
      <w:r w:rsidRPr="008B23A1">
        <w:rPr>
          <w:rFonts w:eastAsia="Calibri" w:cstheme="minorHAnsi"/>
          <w:sz w:val="24"/>
          <w:szCs w:val="24"/>
          <w:lang w:val="bg-BG"/>
        </w:rPr>
        <w:t>раз</w:t>
      </w:r>
      <w:r w:rsidR="006B3361" w:rsidRPr="008B23A1">
        <w:rPr>
          <w:rFonts w:eastAsia="Calibri" w:cstheme="minorHAnsi"/>
          <w:sz w:val="24"/>
          <w:szCs w:val="24"/>
          <w:lang w:val="bg-BG"/>
        </w:rPr>
        <w:t>в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ита </w:t>
      </w:r>
      <w:r w:rsidR="006B3361" w:rsidRPr="008B23A1">
        <w:rPr>
          <w:rFonts w:eastAsia="Calibri" w:cstheme="minorHAnsi"/>
          <w:sz w:val="24"/>
          <w:szCs w:val="24"/>
          <w:lang w:val="bg-BG"/>
        </w:rPr>
        <w:t xml:space="preserve">мрежа от болнични заведения, разполагащи с голям брой болнични легла и болничен персонал. Една част от тези болници вече не могат да отговорят на съвременните изисквания за активни и интензивно лечение, но разполагат с отлични условия за осигуряване на продължително лечение и </w:t>
      </w:r>
      <w:r w:rsidR="000D1B95" w:rsidRPr="008B23A1">
        <w:rPr>
          <w:rFonts w:eastAsia="Calibri" w:cstheme="minorHAnsi"/>
          <w:sz w:val="24"/>
          <w:szCs w:val="24"/>
          <w:lang w:val="bg-BG"/>
        </w:rPr>
        <w:t>дългосрочни</w:t>
      </w:r>
      <w:r w:rsidR="006B3361" w:rsidRPr="008B23A1">
        <w:rPr>
          <w:rFonts w:eastAsia="Calibri" w:cstheme="minorHAnsi"/>
          <w:sz w:val="24"/>
          <w:szCs w:val="24"/>
          <w:lang w:val="bg-BG"/>
        </w:rPr>
        <w:t xml:space="preserve"> медицински грижи за възрастни хора. </w:t>
      </w:r>
    </w:p>
    <w:p w14:paraId="764F3BF8" w14:textId="77777777" w:rsidR="00B46057" w:rsidRPr="008B23A1" w:rsidRDefault="006B3361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Въпреки това, а</w:t>
      </w:r>
      <w:r w:rsidR="00F31512" w:rsidRPr="008B23A1">
        <w:rPr>
          <w:rFonts w:eastAsia="Calibri" w:cstheme="minorHAnsi"/>
          <w:sz w:val="24"/>
          <w:szCs w:val="24"/>
          <w:lang w:val="bg-BG"/>
        </w:rPr>
        <w:t xml:space="preserve">нализът </w:t>
      </w:r>
      <w:r w:rsidR="00E65280" w:rsidRPr="008B23A1">
        <w:rPr>
          <w:rFonts w:eastAsia="Calibri" w:cstheme="minorHAnsi"/>
          <w:sz w:val="24"/>
          <w:szCs w:val="24"/>
          <w:lang w:val="bg-BG"/>
        </w:rPr>
        <w:t xml:space="preserve">на структурата и капацитета на </w:t>
      </w:r>
      <w:r w:rsidR="00233AE1" w:rsidRPr="008B23A1">
        <w:rPr>
          <w:rFonts w:eastAsia="Calibri" w:cstheme="minorHAnsi"/>
          <w:sz w:val="24"/>
          <w:szCs w:val="24"/>
          <w:lang w:val="bg-BG"/>
        </w:rPr>
        <w:t>системата за болнична помощ</w:t>
      </w:r>
      <w:r w:rsidR="00E65280" w:rsidRPr="008B23A1">
        <w:rPr>
          <w:rFonts w:eastAsia="Calibri" w:cstheme="minorHAnsi"/>
          <w:sz w:val="24"/>
          <w:szCs w:val="24"/>
          <w:lang w:val="bg-BG"/>
        </w:rPr>
        <w:t xml:space="preserve"> показва, че</w:t>
      </w:r>
      <w:r w:rsidR="00233AE1"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към момента </w:t>
      </w:r>
      <w:r w:rsidR="00F31512" w:rsidRPr="008B23A1">
        <w:rPr>
          <w:rFonts w:eastAsia="Calibri" w:cstheme="minorHAnsi"/>
          <w:sz w:val="24"/>
          <w:szCs w:val="24"/>
          <w:lang w:val="bg-BG"/>
        </w:rPr>
        <w:t xml:space="preserve">на национално ниво е налице сериозен недостиг на легла за дългосрочни грижи на фона на много висока осигуреност с легла за активно лечение, които се използват неефективно. </w:t>
      </w:r>
    </w:p>
    <w:p w14:paraId="58BC89A3" w14:textId="77777777" w:rsidR="00B46057" w:rsidRPr="008B23A1" w:rsidRDefault="00B46057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През 2022 г. Евростат официално обяви, че България регистрира най-висока осигуреност с болнични легла спрямо броя на населението</w:t>
      </w:r>
      <w:r w:rsidR="00D35080" w:rsidRPr="008B23A1">
        <w:rPr>
          <w:rFonts w:eastAsia="Calibri" w:cstheme="minorHAnsi"/>
          <w:sz w:val="24"/>
          <w:szCs w:val="24"/>
          <w:lang w:val="bg-BG"/>
        </w:rPr>
        <w:t xml:space="preserve"> от всички страни в ЕС</w:t>
      </w:r>
      <w:r w:rsidRPr="008B23A1">
        <w:rPr>
          <w:rFonts w:eastAsia="Calibri" w:cstheme="minorHAnsi"/>
          <w:sz w:val="24"/>
          <w:szCs w:val="24"/>
          <w:lang w:val="bg-BG"/>
        </w:rPr>
        <w:t>, със средно 823 легла на 100 000 души</w:t>
      </w:r>
      <w:r w:rsidR="00D35080" w:rsidRPr="008B23A1">
        <w:rPr>
          <w:rFonts w:eastAsia="Calibri" w:cstheme="minorHAnsi"/>
          <w:sz w:val="24"/>
          <w:szCs w:val="24"/>
          <w:lang w:val="bg-BG"/>
        </w:rPr>
        <w:t xml:space="preserve">. За сметка на това е на едно от последните места по </w:t>
      </w:r>
      <w:r w:rsidR="00D35080" w:rsidRPr="008B23A1">
        <w:rPr>
          <w:rFonts w:eastAsia="Calibri" w:cstheme="minorHAnsi"/>
          <w:sz w:val="24"/>
          <w:szCs w:val="24"/>
          <w:lang w:val="bg-BG"/>
        </w:rPr>
        <w:lastRenderedPageBreak/>
        <w:t>осигуреност с легла за дългосрочни грижи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. (фиг.1) </w:t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</w:r>
      <w:r w:rsidRPr="008B23A1">
        <w:rPr>
          <w:rFonts w:eastAsia="Calibri" w:cstheme="minorHAnsi"/>
          <w:sz w:val="24"/>
          <w:szCs w:val="24"/>
          <w:lang w:val="bg-BG"/>
        </w:rPr>
        <w:tab/>
        <w:t xml:space="preserve">       </w:t>
      </w:r>
    </w:p>
    <w:p w14:paraId="53F90576" w14:textId="77777777" w:rsidR="00233AE1" w:rsidRPr="008B23A1" w:rsidRDefault="00B46057" w:rsidP="00800C12">
      <w:pPr>
        <w:spacing w:after="0"/>
        <w:ind w:firstLine="708"/>
        <w:jc w:val="right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фиг.1</w:t>
      </w:r>
    </w:p>
    <w:p w14:paraId="13535224" w14:textId="77777777" w:rsidR="00CD2953" w:rsidRPr="008B23A1" w:rsidRDefault="00CD2953" w:rsidP="00800C12">
      <w:pPr>
        <w:pStyle w:val="NormalWeb"/>
        <w:spacing w:before="0" w:beforeAutospacing="0" w:after="0" w:afterAutospacing="0" w:line="259" w:lineRule="auto"/>
        <w:rPr>
          <w:rFonts w:asciiTheme="minorHAnsi" w:hAnsiTheme="minorHAnsi" w:cstheme="minorHAnsi"/>
        </w:rPr>
      </w:pPr>
      <w:r w:rsidRPr="008B23A1">
        <w:rPr>
          <w:rFonts w:asciiTheme="minorHAnsi" w:hAnsiTheme="minorHAnsi" w:cstheme="minorHAnsi"/>
          <w:noProof/>
        </w:rPr>
        <w:drawing>
          <wp:inline distT="0" distB="0" distL="0" distR="0" wp14:anchorId="14241B93" wp14:editId="4842A4DA">
            <wp:extent cx="5687695" cy="3390900"/>
            <wp:effectExtent l="0" t="0" r="8255" b="0"/>
            <wp:docPr id="4" name="Picture 4" descr="D:\hospital-beds-long-term-care-beds-2022-r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spital-beds-long-term-care-beds-2022-ra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45" cy="34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37C" w14:textId="77777777" w:rsidR="00233AE1" w:rsidRPr="008B23A1" w:rsidRDefault="00F31512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П</w:t>
      </w:r>
      <w:r w:rsidR="00233AE1" w:rsidRPr="008B23A1">
        <w:rPr>
          <w:rFonts w:eastAsia="Calibri" w:cstheme="minorHAnsi"/>
          <w:sz w:val="24"/>
          <w:szCs w:val="24"/>
          <w:lang w:val="bg-BG"/>
        </w:rPr>
        <w:t>о данни на НСИ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233AE1" w:rsidRPr="008B23A1">
        <w:rPr>
          <w:rFonts w:eastAsia="Calibri" w:cstheme="minorHAnsi"/>
          <w:sz w:val="24"/>
          <w:szCs w:val="24"/>
          <w:lang w:val="bg-BG"/>
        </w:rPr>
        <w:t xml:space="preserve">в края на 2024 г. в страната функционират 341 </w:t>
      </w:r>
      <w:r w:rsidR="00BA12EB" w:rsidRPr="008B23A1">
        <w:rPr>
          <w:rFonts w:eastAsia="Calibri" w:cstheme="minorHAnsi"/>
          <w:sz w:val="24"/>
          <w:szCs w:val="24"/>
          <w:lang w:val="bg-BG"/>
        </w:rPr>
        <w:t xml:space="preserve">лечебни заведения със стационар </w:t>
      </w:r>
      <w:r w:rsidR="00BA12EB" w:rsidRPr="008B23A1">
        <w:rPr>
          <w:rFonts w:cstheme="minorHAnsi"/>
          <w:sz w:val="24"/>
          <w:szCs w:val="24"/>
          <w:lang w:val="bg-BG"/>
        </w:rPr>
        <w:t>(в т.ч. болници и лечебни заведения със специфични функции)</w:t>
      </w:r>
      <w:r w:rsidR="00113C0C" w:rsidRPr="008B23A1">
        <w:rPr>
          <w:rFonts w:eastAsia="Calibri" w:cstheme="minorHAnsi"/>
          <w:sz w:val="24"/>
          <w:szCs w:val="24"/>
          <w:lang w:val="bg-BG"/>
        </w:rPr>
        <w:t xml:space="preserve">, които разполагат </w:t>
      </w:r>
      <w:r w:rsidR="00233AE1" w:rsidRPr="008B23A1">
        <w:rPr>
          <w:rFonts w:eastAsia="Calibri" w:cstheme="minorHAnsi"/>
          <w:sz w:val="24"/>
          <w:szCs w:val="24"/>
          <w:lang w:val="bg-BG"/>
        </w:rPr>
        <w:t>с 55724 легла, в т.ч. 46 233 легла за активно и интензивно лечение, 7194 легла за рехабилитационна грижа и 2297 за дългосрочна грижа, от к</w:t>
      </w:r>
      <w:r w:rsidR="002C001D" w:rsidRPr="008B23A1">
        <w:rPr>
          <w:rFonts w:eastAsia="Calibri" w:cstheme="minorHAnsi"/>
          <w:sz w:val="24"/>
          <w:szCs w:val="24"/>
          <w:lang w:val="bg-BG"/>
        </w:rPr>
        <w:t xml:space="preserve">оито 1219 легла за дългосрочна </w:t>
      </w:r>
      <w:r w:rsidR="00233AE1" w:rsidRPr="008B23A1">
        <w:rPr>
          <w:rFonts w:eastAsia="Calibri" w:cstheme="minorHAnsi"/>
          <w:sz w:val="24"/>
          <w:szCs w:val="24"/>
          <w:lang w:val="bg-BG"/>
        </w:rPr>
        <w:t xml:space="preserve">грижа </w:t>
      </w:r>
      <w:r w:rsidR="002C001D" w:rsidRPr="008B23A1">
        <w:rPr>
          <w:rFonts w:eastAsia="Calibri" w:cstheme="minorHAnsi"/>
          <w:sz w:val="24"/>
          <w:szCs w:val="24"/>
          <w:lang w:val="bg-BG"/>
        </w:rPr>
        <w:t xml:space="preserve">за пациенти с психични заболявания </w:t>
      </w:r>
      <w:r w:rsidR="00233AE1" w:rsidRPr="008B23A1">
        <w:rPr>
          <w:rFonts w:eastAsia="Calibri" w:cstheme="minorHAnsi"/>
          <w:sz w:val="24"/>
          <w:szCs w:val="24"/>
          <w:lang w:val="bg-BG"/>
        </w:rPr>
        <w:t>и само 1078 легла за дългосрочна грижа, включваща продължително лечение и палиативни грижи при болни със соматични заболявания.</w:t>
      </w:r>
      <w:r w:rsidR="00B46057" w:rsidRPr="008B23A1">
        <w:rPr>
          <w:rFonts w:eastAsia="Calibri" w:cstheme="minorHAnsi"/>
          <w:sz w:val="24"/>
          <w:szCs w:val="24"/>
          <w:lang w:val="bg-BG"/>
        </w:rPr>
        <w:t xml:space="preserve"> (фиг.2</w:t>
      </w:r>
      <w:r w:rsidR="00E65280" w:rsidRPr="008B23A1">
        <w:rPr>
          <w:rFonts w:eastAsia="Calibri" w:cstheme="minorHAnsi"/>
          <w:sz w:val="24"/>
          <w:szCs w:val="24"/>
          <w:lang w:val="bg-BG"/>
        </w:rPr>
        <w:t>)</w:t>
      </w:r>
      <w:r w:rsidR="00233AE1"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113C0C" w:rsidRPr="008B23A1">
        <w:rPr>
          <w:rFonts w:eastAsia="Calibri" w:cstheme="minorHAnsi"/>
          <w:sz w:val="24"/>
          <w:szCs w:val="24"/>
          <w:lang w:val="bg-BG"/>
        </w:rPr>
        <w:t>Тези легла</w:t>
      </w:r>
      <w:r w:rsidR="00F575F3" w:rsidRPr="008B23A1">
        <w:rPr>
          <w:rFonts w:eastAsia="Calibri" w:cstheme="minorHAnsi"/>
          <w:sz w:val="24"/>
          <w:szCs w:val="24"/>
          <w:lang w:val="bg-BG"/>
        </w:rPr>
        <w:t xml:space="preserve">, които следва да покриват нуждите на възрастните хора със сериозни здравословни проблеми от дългосрочни </w:t>
      </w:r>
      <w:r w:rsidR="00113C0C"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F575F3" w:rsidRPr="008B23A1">
        <w:rPr>
          <w:rFonts w:eastAsia="Calibri" w:cstheme="minorHAnsi"/>
          <w:sz w:val="24"/>
          <w:szCs w:val="24"/>
          <w:lang w:val="bg-BG"/>
        </w:rPr>
        <w:t xml:space="preserve">медицински грижи </w:t>
      </w:r>
      <w:r w:rsidR="00113C0C" w:rsidRPr="008B23A1">
        <w:rPr>
          <w:rFonts w:eastAsia="Calibri" w:cstheme="minorHAnsi"/>
          <w:sz w:val="24"/>
          <w:szCs w:val="24"/>
          <w:lang w:val="bg-BG"/>
        </w:rPr>
        <w:t>съставляват едва 1,9% от общият леглови фонд на болниците.</w:t>
      </w:r>
    </w:p>
    <w:p w14:paraId="00C3D609" w14:textId="77777777" w:rsidR="00DC77F0" w:rsidRPr="008B23A1" w:rsidRDefault="00DC77F0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 xml:space="preserve">Структурата на болничният леглови фонд значтелно се различава от определените национални потребности от болнични легла по видове. </w:t>
      </w:r>
    </w:p>
    <w:p w14:paraId="73F6BFA7" w14:textId="77777777" w:rsidR="00DC77F0" w:rsidRPr="008B23A1" w:rsidRDefault="00DC77F0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Според Националната здравна карта, приета през 2016 г. общият брой на необходимите болнични легла</w:t>
      </w:r>
      <w:r w:rsidR="00D35080" w:rsidRPr="008B23A1">
        <w:rPr>
          <w:rFonts w:eastAsia="Calibri" w:cstheme="minorHAnsi"/>
          <w:sz w:val="24"/>
          <w:szCs w:val="24"/>
          <w:lang w:val="bg-BG"/>
        </w:rPr>
        <w:t xml:space="preserve"> в страната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(при население </w:t>
      </w:r>
      <w:r w:rsidRPr="008B23A1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7 153 784 </w:t>
      </w:r>
      <w:proofErr w:type="spellStart"/>
      <w:r w:rsidRPr="008B23A1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ду</w:t>
      </w:r>
      <w:proofErr w:type="spellEnd"/>
      <w:r w:rsidRPr="008B23A1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bg-BG"/>
        </w:rPr>
        <w:t>ш</w:t>
      </w:r>
      <w:r w:rsidRPr="008B23A1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и</w:t>
      </w:r>
      <w:r w:rsidRPr="008B23A1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  <w:lang w:val="bg-BG"/>
        </w:rPr>
        <w:t>)</w:t>
      </w:r>
      <w:r w:rsidRPr="008B23A1">
        <w:rPr>
          <w:rStyle w:val="Emphasis"/>
          <w:rFonts w:cstheme="minorHAnsi"/>
          <w:b/>
          <w:bCs/>
          <w:i w:val="0"/>
          <w:iCs w:val="0"/>
          <w:sz w:val="24"/>
          <w:szCs w:val="24"/>
          <w:shd w:val="clear" w:color="auto" w:fill="FFFFFF"/>
          <w:lang w:val="bg-BG"/>
        </w:rPr>
        <w:t xml:space="preserve"> </w:t>
      </w:r>
      <w:r w:rsidRPr="008B23A1">
        <w:rPr>
          <w:rFonts w:eastAsia="Calibri" w:cstheme="minorHAnsi"/>
          <w:sz w:val="24"/>
          <w:szCs w:val="24"/>
          <w:lang w:val="bg-BG"/>
        </w:rPr>
        <w:t>е 51546 легла, в т.ч. 35302 легла за активно и интензивно лечение, и 16 244 „други“ легла (включващи легла за дългосрочна грижа, физиотерапия и рехабилитация и психиатрични легла), в т.ч. 6230 легла за продължително лечение и палиативни грижи.</w:t>
      </w:r>
    </w:p>
    <w:p w14:paraId="5C236633" w14:textId="77777777" w:rsidR="00B46057" w:rsidRPr="008B23A1" w:rsidRDefault="00DC77F0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Съгласно Национална</w:t>
      </w:r>
      <w:r w:rsidR="00D35080" w:rsidRPr="008B23A1">
        <w:rPr>
          <w:rFonts w:eastAsia="Calibri" w:cstheme="minorHAnsi"/>
          <w:sz w:val="24"/>
          <w:szCs w:val="24"/>
          <w:lang w:val="bg-BG"/>
        </w:rPr>
        <w:t>та</w:t>
      </w:r>
      <w:r w:rsidRPr="008B23A1">
        <w:rPr>
          <w:rFonts w:eastAsia="Calibri" w:cstheme="minorHAnsi"/>
          <w:sz w:val="24"/>
          <w:szCs w:val="24"/>
          <w:lang w:val="bg-BG"/>
        </w:rPr>
        <w:t xml:space="preserve"> карта на дългосрочните нужди от здравни услуги на Република България, приета Решение № 1073 на Министерския съвет от 29.12.2022 г., в  страната (при население 6 447 710 души</w:t>
      </w:r>
      <w:r w:rsidRPr="008B23A1">
        <w:rPr>
          <w:rFonts w:cstheme="minorHAnsi"/>
          <w:color w:val="1F1F1F"/>
          <w:sz w:val="24"/>
          <w:szCs w:val="24"/>
          <w:shd w:val="clear" w:color="auto" w:fill="FFFFFF"/>
          <w:lang w:val="bg-BG"/>
        </w:rPr>
        <w:t xml:space="preserve">) </w:t>
      </w:r>
      <w:r w:rsidRPr="008B23A1">
        <w:rPr>
          <w:rFonts w:eastAsia="Calibri" w:cstheme="minorHAnsi"/>
          <w:sz w:val="24"/>
          <w:szCs w:val="24"/>
          <w:lang w:val="bg-BG"/>
        </w:rPr>
        <w:t>следва да има 41 034 болнични легла, от които 27 356 легла за активно лечение и 13 677 други легла, в т.ч. 5 129 легла за дългосрочни грижи (продължително лечение и палиативни грижи).</w:t>
      </w:r>
    </w:p>
    <w:p w14:paraId="5514938F" w14:textId="77777777" w:rsidR="00F575F3" w:rsidRPr="008B23A1" w:rsidRDefault="00B46057" w:rsidP="00800C12">
      <w:pPr>
        <w:spacing w:after="0"/>
        <w:ind w:firstLine="708"/>
        <w:jc w:val="right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Фиг.2</w:t>
      </w:r>
    </w:p>
    <w:p w14:paraId="116DB768" w14:textId="77777777" w:rsidR="00233AE1" w:rsidRPr="008B23A1" w:rsidRDefault="002C001D" w:rsidP="00800C12">
      <w:pPr>
        <w:spacing w:after="0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cstheme="minorHAnsi"/>
          <w:noProof/>
          <w:sz w:val="24"/>
          <w:szCs w:val="24"/>
          <w:lang w:val="en-US"/>
        </w:rPr>
        <w:lastRenderedPageBreak/>
        <w:drawing>
          <wp:inline distT="0" distB="0" distL="0" distR="0" wp14:anchorId="3FBB1FDA" wp14:editId="08C1D42D">
            <wp:extent cx="5749925" cy="2962275"/>
            <wp:effectExtent l="0" t="0" r="3175" b="9525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21DE2F" w14:textId="77777777" w:rsidR="00E65280" w:rsidRPr="008B23A1" w:rsidRDefault="00E65280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</w:p>
    <w:p w14:paraId="63557CE6" w14:textId="77777777" w:rsidR="00BA12EB" w:rsidRPr="008B23A1" w:rsidRDefault="00DC77F0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 xml:space="preserve">Броят на болниците към 31.12.2024 г. </w:t>
      </w:r>
      <w:r w:rsidR="00BA12EB" w:rsidRPr="008B23A1">
        <w:rPr>
          <w:rFonts w:eastAsia="Calibri" w:cstheme="minorHAnsi"/>
          <w:sz w:val="24"/>
          <w:szCs w:val="24"/>
          <w:lang w:val="bg-BG"/>
        </w:rPr>
        <w:t>е</w:t>
      </w:r>
      <w:r w:rsidR="00E60F2B"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BA12EB" w:rsidRPr="008B23A1">
        <w:rPr>
          <w:rFonts w:eastAsia="Calibri" w:cstheme="minorHAnsi"/>
          <w:sz w:val="24"/>
          <w:szCs w:val="24"/>
          <w:lang w:val="bg-BG"/>
        </w:rPr>
        <w:t xml:space="preserve">319, от които </w:t>
      </w:r>
      <w:r w:rsidR="00E60F2B" w:rsidRPr="008B23A1">
        <w:rPr>
          <w:rFonts w:eastAsia="Calibri" w:cstheme="minorHAnsi"/>
          <w:sz w:val="24"/>
          <w:szCs w:val="24"/>
          <w:lang w:val="bg-BG"/>
        </w:rPr>
        <w:t>61 държавни, 120 общински и 116 частни лечебни заведения</w:t>
      </w:r>
      <w:r w:rsidR="00BA12EB" w:rsidRPr="008B23A1">
        <w:rPr>
          <w:rFonts w:eastAsia="Calibri" w:cstheme="minorHAnsi"/>
          <w:sz w:val="24"/>
          <w:szCs w:val="24"/>
          <w:lang w:val="bg-BG"/>
        </w:rPr>
        <w:t xml:space="preserve">. </w:t>
      </w:r>
      <w:r w:rsidRPr="008B23A1">
        <w:rPr>
          <w:rFonts w:cstheme="minorHAnsi"/>
          <w:sz w:val="24"/>
          <w:szCs w:val="24"/>
          <w:lang w:val="bg-BG"/>
        </w:rPr>
        <w:t>От всички тези болници само 14 са за продължително лечение - 5 държавни болници (специализирани за продължително лечение на белодробни заболявания и туберкулоза) и 9 общински.</w:t>
      </w:r>
    </w:p>
    <w:p w14:paraId="61A57CDD" w14:textId="77777777" w:rsidR="00E60F2B" w:rsidRPr="008B23A1" w:rsidRDefault="001F1228" w:rsidP="00800C12">
      <w:pPr>
        <w:spacing w:after="0"/>
        <w:ind w:firstLine="708"/>
        <w:jc w:val="both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Броят на разкритите легла в болниците</w:t>
      </w:r>
      <w:r w:rsidR="00DC77F0" w:rsidRPr="008B23A1">
        <w:rPr>
          <w:rFonts w:eastAsia="Calibri" w:cstheme="minorHAnsi"/>
          <w:sz w:val="24"/>
          <w:szCs w:val="24"/>
          <w:lang w:val="bg-BG"/>
        </w:rPr>
        <w:t xml:space="preserve"> (многопрофилни и специализирани) </w:t>
      </w:r>
      <w:r w:rsidR="00E60F2B" w:rsidRPr="008B23A1">
        <w:rPr>
          <w:rFonts w:eastAsia="Calibri" w:cstheme="minorHAnsi"/>
          <w:sz w:val="24"/>
          <w:szCs w:val="24"/>
          <w:lang w:val="bg-BG"/>
        </w:rPr>
        <w:t xml:space="preserve"> </w:t>
      </w:r>
      <w:r w:rsidR="00BA12EB" w:rsidRPr="008B23A1">
        <w:rPr>
          <w:rFonts w:eastAsia="Calibri" w:cstheme="minorHAnsi"/>
          <w:sz w:val="24"/>
          <w:szCs w:val="24"/>
          <w:lang w:val="bg-BG"/>
        </w:rPr>
        <w:t xml:space="preserve">е 53806, </w:t>
      </w:r>
      <w:r w:rsidRPr="008B23A1">
        <w:rPr>
          <w:rFonts w:eastAsia="Calibri" w:cstheme="minorHAnsi"/>
          <w:sz w:val="24"/>
          <w:szCs w:val="24"/>
          <w:lang w:val="bg-BG"/>
        </w:rPr>
        <w:t>а г</w:t>
      </w:r>
      <w:r w:rsidR="00BA12EB" w:rsidRPr="008B23A1">
        <w:rPr>
          <w:rFonts w:eastAsia="Calibri" w:cstheme="minorHAnsi"/>
          <w:sz w:val="24"/>
          <w:szCs w:val="24"/>
          <w:lang w:val="bg-BG"/>
        </w:rPr>
        <w:t>одишната заетост на болничните легла е 57</w:t>
      </w:r>
      <w:r w:rsidR="00E60F2B" w:rsidRPr="008B23A1">
        <w:rPr>
          <w:rFonts w:eastAsia="Calibri" w:cstheme="minorHAnsi"/>
          <w:sz w:val="24"/>
          <w:szCs w:val="24"/>
          <w:lang w:val="bg-BG"/>
        </w:rPr>
        <w:t xml:space="preserve"> %, т.е. всеки ден </w:t>
      </w:r>
      <w:r w:rsidR="00BA12EB" w:rsidRPr="008B23A1">
        <w:rPr>
          <w:rFonts w:eastAsia="Calibri" w:cstheme="minorHAnsi"/>
          <w:sz w:val="24"/>
          <w:szCs w:val="24"/>
          <w:lang w:val="bg-BG"/>
        </w:rPr>
        <w:t>над 23 000 легла стоят оборудвани, осигурени с персонал и</w:t>
      </w:r>
      <w:r w:rsidR="00E60F2B" w:rsidRPr="008B23A1">
        <w:rPr>
          <w:rFonts w:eastAsia="Calibri" w:cstheme="minorHAnsi"/>
          <w:sz w:val="24"/>
          <w:szCs w:val="24"/>
          <w:lang w:val="bg-BG"/>
        </w:rPr>
        <w:t xml:space="preserve"> празни</w:t>
      </w:r>
      <w:r w:rsidR="00BA12EB" w:rsidRPr="008B23A1">
        <w:rPr>
          <w:rFonts w:eastAsia="Calibri" w:cstheme="minorHAnsi"/>
          <w:sz w:val="24"/>
          <w:szCs w:val="24"/>
          <w:lang w:val="bg-BG"/>
        </w:rPr>
        <w:t>.</w:t>
      </w:r>
      <w:r w:rsidR="00B46057" w:rsidRPr="008B23A1">
        <w:rPr>
          <w:rFonts w:eastAsia="Calibri" w:cstheme="minorHAnsi"/>
          <w:sz w:val="24"/>
          <w:szCs w:val="24"/>
          <w:lang w:val="bg-BG"/>
        </w:rPr>
        <w:t xml:space="preserve"> (фиг.3</w:t>
      </w:r>
      <w:r w:rsidR="00E65280" w:rsidRPr="008B23A1">
        <w:rPr>
          <w:rFonts w:eastAsia="Calibri" w:cstheme="minorHAnsi"/>
          <w:sz w:val="24"/>
          <w:szCs w:val="24"/>
          <w:lang w:val="bg-BG"/>
        </w:rPr>
        <w:t>)</w:t>
      </w:r>
    </w:p>
    <w:p w14:paraId="24B4070C" w14:textId="77777777" w:rsidR="00E65280" w:rsidRPr="008B23A1" w:rsidRDefault="00B46057" w:rsidP="00800C12">
      <w:pPr>
        <w:spacing w:after="0"/>
        <w:ind w:firstLine="708"/>
        <w:jc w:val="right"/>
        <w:rPr>
          <w:rFonts w:eastAsia="Calibri" w:cstheme="minorHAnsi"/>
          <w:sz w:val="24"/>
          <w:szCs w:val="24"/>
          <w:lang w:val="bg-BG"/>
        </w:rPr>
      </w:pPr>
      <w:r w:rsidRPr="008B23A1">
        <w:rPr>
          <w:rFonts w:eastAsia="Calibri" w:cstheme="minorHAnsi"/>
          <w:sz w:val="24"/>
          <w:szCs w:val="24"/>
          <w:lang w:val="bg-BG"/>
        </w:rPr>
        <w:t>Фиг.3</w:t>
      </w:r>
    </w:p>
    <w:p w14:paraId="297F2C41" w14:textId="77777777" w:rsidR="00E60F2B" w:rsidRPr="008B23A1" w:rsidRDefault="00E60F2B" w:rsidP="00800C12">
      <w:pPr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0EF57DFE" wp14:editId="7AEF4339">
            <wp:extent cx="5697220" cy="2971800"/>
            <wp:effectExtent l="0" t="0" r="17780" b="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D18BBD" w14:textId="77777777" w:rsidR="008F2C32" w:rsidRPr="008B23A1" w:rsidRDefault="008F2C32" w:rsidP="00800C12">
      <w:pPr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bg-BG" w:eastAsia="en-GB"/>
        </w:rPr>
      </w:pP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Данните показват, че в </w:t>
      </w:r>
      <w:r w:rsidR="00D35080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болничната система на страната </w:t>
      </w: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има наличен значителен капацитет за осигуряване на лечение в болнични условия, който не се използва ефективно. </w:t>
      </w:r>
    </w:p>
    <w:p w14:paraId="17EA8823" w14:textId="77777777" w:rsidR="00D26621" w:rsidRPr="008B23A1" w:rsidRDefault="00D26621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Най-ниска е средната използваемост на леглата в общинските многопрофилни болници за активно лечение - 45 % за 2023 г.</w:t>
      </w:r>
      <w:r w:rsidR="00841E48" w:rsidRPr="008B23A1">
        <w:rPr>
          <w:rFonts w:cstheme="minorHAnsi"/>
          <w:sz w:val="24"/>
          <w:szCs w:val="24"/>
          <w:lang w:val="bg-BG"/>
        </w:rPr>
        <w:t xml:space="preserve"> В същото време използваемостта на леглата </w:t>
      </w:r>
      <w:r w:rsidR="00841E48" w:rsidRPr="008B23A1">
        <w:rPr>
          <w:rFonts w:cstheme="minorHAnsi"/>
          <w:sz w:val="24"/>
          <w:szCs w:val="24"/>
          <w:lang w:val="bg-BG"/>
        </w:rPr>
        <w:lastRenderedPageBreak/>
        <w:t xml:space="preserve">в общински болници за продължително лечение е много висока, като в СБПЛР ЕООД Перник, СБПЛР  Кремиковци ЕООД, СБДПЛР„Панчарево“, СБПЛРДЦП Св. София  ЕООД, СБДПЛР  Бухово ЕООД тя е между 80 и 100 %. </w:t>
      </w:r>
    </w:p>
    <w:p w14:paraId="1B755C37" w14:textId="77777777" w:rsidR="00D26621" w:rsidRPr="008B23A1" w:rsidRDefault="00D26621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От 72 общински болници за активно лечение, 7 са с използваемост под 30% - това са болниците в Поморие, Девня, Белоградчик, Трявна, Луковит, Никопол, Девин. Още 11 болници са с използваемост</w:t>
      </w:r>
      <w:r w:rsidR="00BE31A8" w:rsidRPr="008B23A1">
        <w:rPr>
          <w:rFonts w:cstheme="minorHAnsi"/>
          <w:sz w:val="24"/>
          <w:szCs w:val="24"/>
          <w:lang w:val="bg-BG"/>
        </w:rPr>
        <w:t xml:space="preserve"> на леглата за активно лечение</w:t>
      </w:r>
      <w:r w:rsidRPr="008B23A1">
        <w:rPr>
          <w:rFonts w:cstheme="minorHAnsi"/>
          <w:sz w:val="24"/>
          <w:szCs w:val="24"/>
          <w:lang w:val="bg-BG"/>
        </w:rPr>
        <w:t xml:space="preserve"> под 40% - Елхово, Димитровград, Гълъбово, Етрополе, Четвърта градска болница София, Н.Загора, Крумовград, „Св.Мина“ Пловдив, Балчик, Козлудуй, Провадия.</w:t>
      </w:r>
    </w:p>
    <w:p w14:paraId="005F77FC" w14:textId="77777777" w:rsidR="008C6AE0" w:rsidRPr="008B23A1" w:rsidRDefault="00D26621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В 33 </w:t>
      </w:r>
      <w:r w:rsidR="00BE31A8" w:rsidRPr="008B23A1">
        <w:rPr>
          <w:rFonts w:cstheme="minorHAnsi"/>
          <w:sz w:val="24"/>
          <w:szCs w:val="24"/>
          <w:lang w:val="bg-BG"/>
        </w:rPr>
        <w:t xml:space="preserve">многопрофилни </w:t>
      </w:r>
      <w:r w:rsidRPr="008B23A1">
        <w:rPr>
          <w:rFonts w:cstheme="minorHAnsi"/>
          <w:sz w:val="24"/>
          <w:szCs w:val="24"/>
          <w:lang w:val="bg-BG"/>
        </w:rPr>
        <w:t>болници за активно лечение</w:t>
      </w:r>
      <w:r w:rsidR="00BE31A8" w:rsidRPr="008B23A1">
        <w:rPr>
          <w:rFonts w:cstheme="minorHAnsi"/>
          <w:sz w:val="24"/>
          <w:szCs w:val="24"/>
          <w:lang w:val="bg-BG"/>
        </w:rPr>
        <w:t>, поддържащи най-малко 4 структури по различни медицински специалности,</w:t>
      </w:r>
      <w:r w:rsidRPr="008B23A1">
        <w:rPr>
          <w:rFonts w:cstheme="minorHAnsi"/>
          <w:sz w:val="24"/>
          <w:szCs w:val="24"/>
          <w:lang w:val="bg-BG"/>
        </w:rPr>
        <w:t xml:space="preserve"> общият брой н</w:t>
      </w:r>
      <w:r w:rsidR="000D086E" w:rsidRPr="008B23A1">
        <w:rPr>
          <w:rFonts w:cstheme="minorHAnsi"/>
          <w:sz w:val="24"/>
          <w:szCs w:val="24"/>
          <w:lang w:val="bg-BG"/>
        </w:rPr>
        <w:t>а пациентите през годината е между 500 и</w:t>
      </w:r>
      <w:r w:rsidRPr="008B23A1">
        <w:rPr>
          <w:rFonts w:cstheme="minorHAnsi"/>
          <w:sz w:val="24"/>
          <w:szCs w:val="24"/>
          <w:lang w:val="bg-BG"/>
        </w:rPr>
        <w:t xml:space="preserve"> 300</w:t>
      </w:r>
      <w:r w:rsidR="000D086E" w:rsidRPr="008B23A1">
        <w:rPr>
          <w:rFonts w:cstheme="minorHAnsi"/>
          <w:sz w:val="24"/>
          <w:szCs w:val="24"/>
          <w:lang w:val="bg-BG"/>
        </w:rPr>
        <w:t xml:space="preserve">0, т.е. на ден в тях постъпват между </w:t>
      </w:r>
      <w:r w:rsidR="00BE31A8" w:rsidRPr="008B23A1">
        <w:rPr>
          <w:rFonts w:cstheme="minorHAnsi"/>
          <w:sz w:val="24"/>
          <w:szCs w:val="24"/>
          <w:lang w:val="bg-BG"/>
        </w:rPr>
        <w:t>1-2</w:t>
      </w:r>
      <w:r w:rsidR="000D086E" w:rsidRPr="008B23A1">
        <w:rPr>
          <w:rFonts w:cstheme="minorHAnsi"/>
          <w:sz w:val="24"/>
          <w:szCs w:val="24"/>
          <w:lang w:val="bg-BG"/>
        </w:rPr>
        <w:t xml:space="preserve"> и </w:t>
      </w:r>
      <w:r w:rsidRPr="008B23A1">
        <w:rPr>
          <w:rFonts w:cstheme="minorHAnsi"/>
          <w:sz w:val="24"/>
          <w:szCs w:val="24"/>
          <w:lang w:val="bg-BG"/>
        </w:rPr>
        <w:t xml:space="preserve"> </w:t>
      </w:r>
      <w:r w:rsidR="00BE31A8" w:rsidRPr="008B23A1">
        <w:rPr>
          <w:rFonts w:cstheme="minorHAnsi"/>
          <w:sz w:val="24"/>
          <w:szCs w:val="24"/>
          <w:lang w:val="bg-BG"/>
        </w:rPr>
        <w:t xml:space="preserve">8 </w:t>
      </w:r>
      <w:r w:rsidRPr="008B23A1">
        <w:rPr>
          <w:rFonts w:cstheme="minorHAnsi"/>
          <w:sz w:val="24"/>
          <w:szCs w:val="24"/>
          <w:lang w:val="bg-BG"/>
        </w:rPr>
        <w:t>болни общо.</w:t>
      </w:r>
      <w:r w:rsidR="008C6AE0" w:rsidRPr="008B23A1">
        <w:rPr>
          <w:rFonts w:cstheme="minorHAnsi"/>
          <w:sz w:val="24"/>
          <w:szCs w:val="24"/>
          <w:lang w:val="bg-BG"/>
        </w:rPr>
        <w:t xml:space="preserve"> Основната причина за отлива на болни от тези лечебни заведения е, че повечето от тях вече не са в състояние да покрият изискванията за провеждане на съвременно активно и интензивно лечение поради липса на високотехнологична медицинска апаратура и високоспециализиран лекарски персонал.</w:t>
      </w:r>
    </w:p>
    <w:p w14:paraId="698AB564" w14:textId="77777777" w:rsidR="00BE31A8" w:rsidRPr="008B23A1" w:rsidRDefault="00D26621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 </w:t>
      </w:r>
    </w:p>
    <w:p w14:paraId="095DBC09" w14:textId="77777777" w:rsidR="000D086E" w:rsidRPr="008B23A1" w:rsidRDefault="000D086E" w:rsidP="00800C12">
      <w:pPr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47F2ECA0" wp14:editId="4D6C86F9">
            <wp:extent cx="5760720" cy="3067050"/>
            <wp:effectExtent l="0" t="0" r="1143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036D0C" w14:textId="77777777" w:rsidR="00866373" w:rsidRPr="008B23A1" w:rsidRDefault="0086637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</w:p>
    <w:p w14:paraId="5A7B6603" w14:textId="77777777" w:rsidR="0027203C" w:rsidRPr="008B23A1" w:rsidRDefault="0027203C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При този обем дейност, приходите на тези лечебни заведения се явяват крайно недостатъчни за покриване на присъщите разходи и за осигуряване на адекватни възнаграждения на наличния болничен персонал. Този процес вече доведе до закриване през последните години на няколко малки общински болници и ако не се намери начин за промяна в предмета </w:t>
      </w:r>
      <w:r w:rsidR="004945C8" w:rsidRPr="008B23A1">
        <w:rPr>
          <w:rFonts w:cstheme="minorHAnsi"/>
          <w:sz w:val="24"/>
          <w:szCs w:val="24"/>
          <w:lang w:val="bg-BG"/>
        </w:rPr>
        <w:t>на дейност на тези структури, държавата ще загуби един вече изграден ценен ресурс.</w:t>
      </w:r>
    </w:p>
    <w:p w14:paraId="4B055648" w14:textId="77777777" w:rsidR="00841E48" w:rsidRPr="008B23A1" w:rsidRDefault="008C6AE0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В същото време малките общински болници </w:t>
      </w:r>
      <w:r w:rsidR="00841E48" w:rsidRPr="008B23A1">
        <w:rPr>
          <w:rFonts w:cstheme="minorHAnsi"/>
          <w:sz w:val="24"/>
          <w:szCs w:val="24"/>
          <w:lang w:val="bg-BG"/>
        </w:rPr>
        <w:t xml:space="preserve">разполагат с </w:t>
      </w:r>
      <w:r w:rsidRPr="008B23A1">
        <w:rPr>
          <w:rFonts w:cstheme="minorHAnsi"/>
          <w:sz w:val="24"/>
          <w:szCs w:val="24"/>
          <w:lang w:val="bg-BG"/>
        </w:rPr>
        <w:t xml:space="preserve">отлични </w:t>
      </w:r>
      <w:r w:rsidR="00841E48" w:rsidRPr="008B23A1">
        <w:rPr>
          <w:rFonts w:cstheme="minorHAnsi"/>
          <w:sz w:val="24"/>
          <w:szCs w:val="24"/>
          <w:lang w:val="bg-BG"/>
        </w:rPr>
        <w:t xml:space="preserve">възможности за провеждане на продължително лечение и </w:t>
      </w:r>
      <w:r w:rsidR="000D1B95" w:rsidRPr="008B23A1">
        <w:rPr>
          <w:rFonts w:cstheme="minorHAnsi"/>
          <w:sz w:val="24"/>
          <w:szCs w:val="24"/>
          <w:lang w:val="bg-BG"/>
        </w:rPr>
        <w:t>дългосрочни</w:t>
      </w:r>
      <w:r w:rsidR="00841E48" w:rsidRPr="008B23A1">
        <w:rPr>
          <w:rFonts w:cstheme="minorHAnsi"/>
          <w:sz w:val="24"/>
          <w:szCs w:val="24"/>
          <w:lang w:val="bg-BG"/>
        </w:rPr>
        <w:t xml:space="preserve"> медицински грижи за възрастни хора и хора с увреждания</w:t>
      </w:r>
      <w:r w:rsidRPr="008B23A1">
        <w:rPr>
          <w:rFonts w:cstheme="minorHAnsi"/>
          <w:sz w:val="24"/>
          <w:szCs w:val="24"/>
          <w:lang w:val="bg-BG"/>
        </w:rPr>
        <w:t>, осъществявани от медицински сестри под лекарско наблюдение</w:t>
      </w:r>
      <w:r w:rsidR="00841E48" w:rsidRPr="008B23A1">
        <w:rPr>
          <w:rFonts w:cstheme="minorHAnsi"/>
          <w:sz w:val="24"/>
          <w:szCs w:val="24"/>
          <w:lang w:val="bg-BG"/>
        </w:rPr>
        <w:t>.</w:t>
      </w:r>
      <w:r w:rsidR="00866373" w:rsidRPr="008B23A1">
        <w:rPr>
          <w:rFonts w:cstheme="minorHAnsi"/>
          <w:sz w:val="24"/>
          <w:szCs w:val="24"/>
          <w:lang w:val="bg-BG"/>
        </w:rPr>
        <w:t xml:space="preserve"> </w:t>
      </w:r>
    </w:p>
    <w:p w14:paraId="26CBF627" w14:textId="77777777" w:rsidR="00841E48" w:rsidRPr="008B23A1" w:rsidRDefault="004945C8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По данни от регистъра на лечебните заведения за болнична помощ на МЗ</w:t>
      </w:r>
      <w:r w:rsidR="00841E48" w:rsidRPr="008B23A1">
        <w:rPr>
          <w:rFonts w:cstheme="minorHAnsi"/>
          <w:sz w:val="24"/>
          <w:szCs w:val="24"/>
          <w:lang w:val="bg-BG"/>
        </w:rPr>
        <w:t xml:space="preserve"> над половината от общинските многопрофилни болници има разкрити отделения за </w:t>
      </w:r>
      <w:r w:rsidR="00841E48" w:rsidRPr="008B23A1">
        <w:rPr>
          <w:rFonts w:cstheme="minorHAnsi"/>
          <w:sz w:val="24"/>
          <w:szCs w:val="24"/>
          <w:lang w:val="bg-BG"/>
        </w:rPr>
        <w:lastRenderedPageBreak/>
        <w:t>продължително лечение с терапевтична или хирургична насоченост, които на практика не функционират.</w:t>
      </w:r>
    </w:p>
    <w:p w14:paraId="79AF0284" w14:textId="77777777" w:rsidR="00841E48" w:rsidRPr="008B23A1" w:rsidRDefault="00841E48" w:rsidP="00800C12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bg-BG" w:eastAsia="en-GB"/>
        </w:rPr>
      </w:pP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Част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причините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това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е</w:t>
      </w: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липсата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адекватно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регламентиране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финансиране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дейностите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по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предоставяне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продължително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палиативни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грижи</w:t>
      </w:r>
      <w:proofErr w:type="spellEnd"/>
      <w:r w:rsidRPr="008B23A1">
        <w:rPr>
          <w:rFonts w:eastAsia="Times New Roman" w:cstheme="minorHAnsi"/>
          <w:bCs/>
          <w:color w:val="000000"/>
          <w:sz w:val="24"/>
          <w:szCs w:val="24"/>
          <w:lang w:eastAsia="en-GB"/>
        </w:rPr>
        <w:t>.</w:t>
      </w:r>
    </w:p>
    <w:p w14:paraId="4A0085AD" w14:textId="77777777" w:rsidR="00841E48" w:rsidRPr="008B23A1" w:rsidRDefault="00841E48" w:rsidP="00800C12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bg-BG" w:eastAsia="en-GB"/>
        </w:rPr>
      </w:pP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НЗОК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заплаща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продължително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болни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с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определени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заболявания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след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епизод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активно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само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4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клинични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пътеки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Въведените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изисквания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изпълнението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тези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пътеки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доближават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изискванията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активно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значително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по-ниски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нива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финансиране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Това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мотивира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лечебните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заведения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разкриват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легла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продължително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поради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което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голяма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част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болните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с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нужда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такова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продължават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лекуват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в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структури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активно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което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само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натоварва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</w:t>
      </w:r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ози</w:t>
      </w:r>
      <w:proofErr w:type="spellEnd"/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леглови</w:t>
      </w:r>
      <w:proofErr w:type="spellEnd"/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фонд</w:t>
      </w:r>
      <w:proofErr w:type="spellEnd"/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но</w:t>
      </w:r>
      <w:proofErr w:type="spellEnd"/>
      <w:r w:rsidR="00D3508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35080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и води</w:t>
      </w:r>
      <w:r w:rsidR="00230320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до</w:t>
      </w: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значително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по-високи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разходи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болнично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1152447" w14:textId="77777777" w:rsidR="00841E48" w:rsidRPr="008B23A1" w:rsidRDefault="00841E48" w:rsidP="00800C12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Подобна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е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ситуацията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и с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леглата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палиативни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Финансирането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палиативните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към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настоящия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момент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може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извършва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само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линия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НЗОК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чрез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клинична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пътека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„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Палиативни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онкологично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болни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”.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Освен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ниската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цена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в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утвърдения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алгоритъм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клинична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пътека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съществува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огран</w:t>
      </w:r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ичение</w:t>
      </w:r>
      <w:proofErr w:type="spellEnd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болничен</w:t>
      </w:r>
      <w:proofErr w:type="spellEnd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престой</w:t>
      </w:r>
      <w:proofErr w:type="spellEnd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до</w:t>
      </w:r>
      <w:proofErr w:type="spellEnd"/>
      <w:r w:rsidR="00230320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</w:t>
      </w:r>
      <w:r w:rsidR="00230320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5</w:t>
      </w: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в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рамките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терминален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стадий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онкологично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заболяване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в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рамките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6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месеца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Освен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това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изпълнението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тази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пътека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в много от малките болници е трудно</w:t>
      </w: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тъй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като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заложени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ненужно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високи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медицински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изисквания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към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изпълнителите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731D76E1" w14:textId="77777777" w:rsidR="00841E48" w:rsidRPr="008B23A1" w:rsidRDefault="001656E3" w:rsidP="00800C12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bg-BG" w:eastAsia="en-GB"/>
        </w:rPr>
      </w:pP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В резултат на н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едостатъчно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ефективното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финансиране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дейностите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продължително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и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палиативни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от страна на НЗОК,</w:t>
      </w:r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една </w:t>
      </w:r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част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от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нужди</w:t>
      </w: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населението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от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продължително лечение и палиативни</w:t>
      </w:r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се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покриват чрез отчитане на дейности по</w:t>
      </w:r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активно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което</w:t>
      </w:r>
      <w:proofErr w:type="spellEnd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води</w:t>
      </w:r>
      <w:proofErr w:type="spellEnd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до</w:t>
      </w:r>
      <w:proofErr w:type="spellEnd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866373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значително по-високи</w:t>
      </w:r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разход</w:t>
      </w:r>
      <w:proofErr w:type="spellEnd"/>
      <w:r w:rsidR="00866373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и</w:t>
      </w:r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866373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за здравноосигурителни плащания</w:t>
      </w:r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Останалата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част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от</w:t>
      </w:r>
      <w:proofErr w:type="spellEnd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41E48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пот</w:t>
      </w:r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ребностите</w:t>
      </w:r>
      <w:proofErr w:type="spellEnd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остават</w:t>
      </w:r>
      <w:proofErr w:type="spellEnd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66373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незадоволени</w:t>
      </w:r>
      <w:proofErr w:type="spellEnd"/>
      <w:r w:rsidR="00866373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от публичната здравна система и натоварва финансово българските семейства, принудени да заплащат сами грижите за своите възрастни близки.</w:t>
      </w:r>
    </w:p>
    <w:p w14:paraId="4C6693B1" w14:textId="77777777" w:rsidR="0027203C" w:rsidRPr="008B23A1" w:rsidRDefault="008F2C32" w:rsidP="00800C12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bg-BG" w:eastAsia="en-GB"/>
        </w:rPr>
      </w:pP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А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ктуалната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ситуация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налага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промени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които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трябва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предприемат</w:t>
      </w:r>
      <w:proofErr w:type="spellEnd"/>
      <w:r w:rsidR="0027203C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спешно</w:t>
      </w: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27203C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да може съществуващите </w:t>
      </w:r>
      <w:r w:rsidR="004945C8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дефицити по отношение на задоволяване на 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потребностите</w:t>
      </w:r>
      <w:proofErr w:type="spellEnd"/>
      <w:r w:rsidR="004945C8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на възрастните хор</w:t>
      </w:r>
      <w:r w:rsidR="008C6AE0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а от медицински грижи да се срещ</w:t>
      </w:r>
      <w:r w:rsidR="004945C8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нат</w:t>
      </w:r>
      <w:r w:rsidR="00943F6F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с</w:t>
      </w:r>
      <w:r w:rsidR="004945C8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</w:t>
      </w:r>
      <w:r w:rsidR="008C6AE0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наличния неизползван капацитет на болничната система и да се постигне синергичен ефект при максимално ефективно използване на материалните, човешки и финансови ресурси</w:t>
      </w: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="00AB75C2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Така съществуващите „дефекти“ в българската здравна система ще се превърнат в предимство с огромен социален и здравен ефект.</w:t>
      </w:r>
    </w:p>
    <w:p w14:paraId="163CD42E" w14:textId="77777777" w:rsidR="00F47423" w:rsidRPr="008B23A1" w:rsidRDefault="00003BA2" w:rsidP="00800C12">
      <w:pPr>
        <w:shd w:val="clear" w:color="auto" w:fill="FFFFFF"/>
        <w:spacing w:after="0"/>
        <w:ind w:firstLine="720"/>
        <w:jc w:val="both"/>
        <w:rPr>
          <w:rFonts w:cstheme="minorHAnsi"/>
          <w:sz w:val="24"/>
          <w:szCs w:val="24"/>
          <w:highlight w:val="yellow"/>
          <w:lang w:val="bg-BG"/>
        </w:rPr>
      </w:pP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Предлаганият от нас</w:t>
      </w:r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подход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предвижда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комплекс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от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мерки</w:t>
      </w:r>
      <w:proofErr w:type="spellEnd"/>
      <w:r w:rsidR="00AB75C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AB75C2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за</w:t>
      </w:r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изграждане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адекватна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система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продължително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лечение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и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палиативни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която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да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бъде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интегрирана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к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то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с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останалите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части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здравната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система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– извънболнична и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болнична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помощ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така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и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със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социалната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система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осигурявайки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необходимата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приемственост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и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качество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грижите</w:t>
      </w:r>
      <w:proofErr w:type="spellEnd"/>
      <w:r w:rsidR="008F2C32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14:paraId="36A4AB40" w14:textId="77777777" w:rsidR="00AB75C2" w:rsidRPr="008B23A1" w:rsidRDefault="00AA6F9D" w:rsidP="00800C12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B23A1">
        <w:rPr>
          <w:rFonts w:cstheme="minorHAnsi"/>
          <w:sz w:val="24"/>
          <w:szCs w:val="24"/>
          <w:lang w:val="bg-BG"/>
        </w:rPr>
        <w:t>Държавните многопрофилни болници</w:t>
      </w:r>
      <w:r w:rsidR="00F47423" w:rsidRPr="008B23A1">
        <w:rPr>
          <w:rFonts w:cstheme="minorHAnsi"/>
          <w:sz w:val="24"/>
          <w:szCs w:val="24"/>
          <w:lang w:val="bg-BG"/>
        </w:rPr>
        <w:t xml:space="preserve"> за активно лечение</w:t>
      </w:r>
      <w:r w:rsidRPr="008B23A1">
        <w:rPr>
          <w:rFonts w:cstheme="minorHAnsi"/>
          <w:sz w:val="24"/>
          <w:szCs w:val="24"/>
          <w:lang w:val="bg-BG"/>
        </w:rPr>
        <w:t xml:space="preserve"> – областни и университетски, са гръбнака на </w:t>
      </w:r>
      <w:r w:rsidR="00F47423" w:rsidRPr="008B23A1">
        <w:rPr>
          <w:rFonts w:cstheme="minorHAnsi"/>
          <w:sz w:val="24"/>
          <w:szCs w:val="24"/>
          <w:lang w:val="bg-BG"/>
        </w:rPr>
        <w:t xml:space="preserve">националната система за болнична помощ </w:t>
      </w:r>
      <w:r w:rsidRPr="008B23A1">
        <w:rPr>
          <w:rFonts w:cstheme="minorHAnsi"/>
          <w:sz w:val="24"/>
          <w:szCs w:val="24"/>
          <w:lang w:val="bg-BG"/>
        </w:rPr>
        <w:t>и заедно с няколко го</w:t>
      </w:r>
      <w:r w:rsidR="00F47423" w:rsidRPr="008B23A1">
        <w:rPr>
          <w:rFonts w:cstheme="minorHAnsi"/>
          <w:sz w:val="24"/>
          <w:szCs w:val="24"/>
          <w:lang w:val="bg-BG"/>
        </w:rPr>
        <w:t>леми частни болници следва да развиват своя</w:t>
      </w:r>
      <w:r w:rsidRPr="008B23A1">
        <w:rPr>
          <w:rFonts w:cstheme="minorHAnsi"/>
          <w:sz w:val="24"/>
          <w:szCs w:val="24"/>
          <w:lang w:val="bg-BG"/>
        </w:rPr>
        <w:t xml:space="preserve"> капацитет </w:t>
      </w:r>
      <w:r w:rsidR="00F47423" w:rsidRPr="008B23A1">
        <w:rPr>
          <w:rFonts w:cstheme="minorHAnsi"/>
          <w:sz w:val="24"/>
          <w:szCs w:val="24"/>
          <w:lang w:val="bg-BG"/>
        </w:rPr>
        <w:t>за активно, високотехнологично</w:t>
      </w:r>
      <w:r w:rsidRPr="008B23A1">
        <w:rPr>
          <w:rFonts w:cstheme="minorHAnsi"/>
          <w:sz w:val="24"/>
          <w:szCs w:val="24"/>
          <w:lang w:val="bg-BG"/>
        </w:rPr>
        <w:t xml:space="preserve"> и комплексно лечение на пациентите с остри </w:t>
      </w:r>
      <w:r w:rsidR="00F47423" w:rsidRPr="008B23A1">
        <w:rPr>
          <w:rFonts w:cstheme="minorHAnsi"/>
          <w:sz w:val="24"/>
          <w:szCs w:val="24"/>
          <w:lang w:val="bg-BG"/>
        </w:rPr>
        <w:t xml:space="preserve">заболявания, изискващи </w:t>
      </w:r>
      <w:r w:rsidRPr="008B23A1">
        <w:rPr>
          <w:rFonts w:cstheme="minorHAnsi"/>
          <w:sz w:val="24"/>
          <w:szCs w:val="24"/>
          <w:lang w:val="bg-BG"/>
        </w:rPr>
        <w:t xml:space="preserve">лечение в болнични условия. </w:t>
      </w:r>
      <w:r w:rsidR="00F47423" w:rsidRPr="008B23A1">
        <w:rPr>
          <w:rFonts w:cstheme="minorHAnsi"/>
          <w:sz w:val="24"/>
          <w:szCs w:val="24"/>
          <w:lang w:val="bg-BG"/>
        </w:rPr>
        <w:t xml:space="preserve">Ангажирането на този капацитет с дейности по </w:t>
      </w:r>
      <w:r w:rsidR="00F47423" w:rsidRPr="008B23A1">
        <w:rPr>
          <w:rFonts w:cstheme="minorHAnsi"/>
          <w:sz w:val="24"/>
          <w:szCs w:val="24"/>
          <w:lang w:val="bg-BG"/>
        </w:rPr>
        <w:lastRenderedPageBreak/>
        <w:t xml:space="preserve">продължително лечение и </w:t>
      </w:r>
      <w:r w:rsidR="000D1B95" w:rsidRPr="008B23A1">
        <w:rPr>
          <w:rFonts w:cstheme="minorHAnsi"/>
          <w:sz w:val="24"/>
          <w:szCs w:val="24"/>
          <w:lang w:val="bg-BG"/>
        </w:rPr>
        <w:t>дългосрочни</w:t>
      </w:r>
      <w:r w:rsidR="00F47423" w:rsidRPr="008B23A1">
        <w:rPr>
          <w:rFonts w:cstheme="minorHAnsi"/>
          <w:sz w:val="24"/>
          <w:szCs w:val="24"/>
          <w:lang w:val="bg-BG"/>
        </w:rPr>
        <w:t xml:space="preserve"> дългосрочни грижи би било неефективно и нецелесъобразно.</w:t>
      </w:r>
      <w:r w:rsidR="00AB75C2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Затова основен обект на политиките следва да бъдат общинските болници, които от една страна са най-близо до местоживеенето и общностите на възрастните хора и от друга страна разполагат със свободен капацитет, добра материално техническа база, медицински персонал и осигурена логистика за помощни дейности като снабдяване с медикаменти, храна, болнично пране и др.</w:t>
      </w:r>
    </w:p>
    <w:p w14:paraId="664A751D" w14:textId="77777777" w:rsidR="00D61655" w:rsidRPr="008B23A1" w:rsidRDefault="00AB75C2" w:rsidP="00800C12">
      <w:pPr>
        <w:shd w:val="clear" w:color="auto" w:fill="FFFFFF"/>
        <w:spacing w:after="0"/>
        <w:ind w:firstLine="720"/>
        <w:jc w:val="both"/>
        <w:rPr>
          <w:rFonts w:eastAsia="Times New Roman" w:cstheme="minorHAnsi"/>
          <w:color w:val="000000"/>
          <w:sz w:val="24"/>
          <w:szCs w:val="24"/>
          <w:lang w:val="bg-BG" w:eastAsia="en-GB"/>
        </w:rPr>
      </w:pP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Това ще доведе до пълноценна реализация на п</w:t>
      </w:r>
      <w:proofErr w:type="spellStart"/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>олитиките</w:t>
      </w:r>
      <w:proofErr w:type="spellEnd"/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,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залегнали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и в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Националната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програма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развитие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„България 2030“ и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Националната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здравна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стратегия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943F6F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2030, </w:t>
      </w:r>
      <w:r w:rsidR="00943F6F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за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стимулиране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развитието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на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предоставяните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в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лечебните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заведения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здравни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услуги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свързани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с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продължителни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здравни</w:t>
      </w:r>
      <w:proofErr w:type="spellEnd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D61655" w:rsidRPr="008B23A1">
        <w:rPr>
          <w:rFonts w:eastAsia="Times New Roman" w:cstheme="minorHAnsi"/>
          <w:color w:val="000000"/>
          <w:sz w:val="24"/>
          <w:szCs w:val="24"/>
          <w:lang w:eastAsia="en-GB"/>
        </w:rPr>
        <w:t>грижи</w:t>
      </w:r>
      <w:proofErr w:type="spellEnd"/>
      <w:r w:rsidR="00943F6F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.</w:t>
      </w:r>
    </w:p>
    <w:p w14:paraId="517BC295" w14:textId="77777777" w:rsidR="00003BA2" w:rsidRPr="008B23A1" w:rsidRDefault="00D61655" w:rsidP="00800C12">
      <w:pPr>
        <w:shd w:val="clear" w:color="auto" w:fill="FFFFFF"/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03BA2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Предложението ни е в унисон с планираните в </w:t>
      </w:r>
      <w:r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 xml:space="preserve"> Националната здравна стратегия 2030 </w:t>
      </w:r>
      <w:r w:rsidR="00003BA2" w:rsidRPr="008B23A1">
        <w:rPr>
          <w:rFonts w:eastAsia="Times New Roman" w:cstheme="minorHAnsi"/>
          <w:color w:val="000000"/>
          <w:sz w:val="24"/>
          <w:szCs w:val="24"/>
          <w:lang w:val="bg-BG" w:eastAsia="en-GB"/>
        </w:rPr>
        <w:t>мерки за</w:t>
      </w:r>
      <w:r w:rsidR="0049355A" w:rsidRPr="008B23A1">
        <w:rPr>
          <w:rFonts w:cstheme="minorHAnsi"/>
          <w:sz w:val="24"/>
          <w:szCs w:val="24"/>
        </w:rPr>
        <w:t xml:space="preserve"> </w:t>
      </w:r>
      <w:r w:rsidR="00003BA2" w:rsidRPr="008B23A1">
        <w:rPr>
          <w:rFonts w:cstheme="minorHAnsi"/>
          <w:sz w:val="24"/>
          <w:szCs w:val="24"/>
          <w:lang w:val="bg-BG"/>
        </w:rPr>
        <w:t>„</w:t>
      </w:r>
      <w:proofErr w:type="spellStart"/>
      <w:r w:rsidR="0049355A" w:rsidRPr="008B23A1">
        <w:rPr>
          <w:rFonts w:cstheme="minorHAnsi"/>
          <w:sz w:val="24"/>
          <w:szCs w:val="24"/>
        </w:rPr>
        <w:t>намаляване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броя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леглата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активно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лечение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остри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заболявания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развитие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високотехнологични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диагностични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49355A" w:rsidRPr="008B23A1">
        <w:rPr>
          <w:rFonts w:cstheme="minorHAnsi"/>
          <w:sz w:val="24"/>
          <w:szCs w:val="24"/>
        </w:rPr>
        <w:t>лечебни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услуги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49355A" w:rsidRPr="008B23A1">
        <w:rPr>
          <w:rFonts w:cstheme="minorHAnsi"/>
          <w:sz w:val="24"/>
          <w:szCs w:val="24"/>
        </w:rPr>
        <w:t>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структури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рехабилитация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продължите</w:t>
      </w:r>
      <w:r w:rsidR="00003BA2" w:rsidRPr="008B23A1">
        <w:rPr>
          <w:rFonts w:cstheme="minorHAnsi"/>
          <w:sz w:val="24"/>
          <w:szCs w:val="24"/>
        </w:rPr>
        <w:t>лно</w:t>
      </w:r>
      <w:proofErr w:type="spellEnd"/>
      <w:r w:rsidR="00003BA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003BA2" w:rsidRPr="008B23A1">
        <w:rPr>
          <w:rFonts w:cstheme="minorHAnsi"/>
          <w:sz w:val="24"/>
          <w:szCs w:val="24"/>
        </w:rPr>
        <w:t>лечение</w:t>
      </w:r>
      <w:proofErr w:type="spellEnd"/>
      <w:r w:rsidR="00003BA2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003BA2" w:rsidRPr="008B23A1">
        <w:rPr>
          <w:rFonts w:cstheme="minorHAnsi"/>
          <w:sz w:val="24"/>
          <w:szCs w:val="24"/>
        </w:rPr>
        <w:t>палиативни</w:t>
      </w:r>
      <w:proofErr w:type="spellEnd"/>
      <w:r w:rsidR="00003BA2" w:rsidRPr="008B23A1">
        <w:rPr>
          <w:rFonts w:cstheme="minorHAnsi"/>
          <w:sz w:val="24"/>
          <w:szCs w:val="24"/>
        </w:rPr>
        <w:t xml:space="preserve"> </w:t>
      </w:r>
      <w:proofErr w:type="spellStart"/>
      <w:r w:rsidR="00003BA2" w:rsidRPr="008B23A1">
        <w:rPr>
          <w:rFonts w:cstheme="minorHAnsi"/>
          <w:sz w:val="24"/>
          <w:szCs w:val="24"/>
        </w:rPr>
        <w:t>грижи</w:t>
      </w:r>
      <w:proofErr w:type="spellEnd"/>
      <w:r w:rsidR="00003BA2" w:rsidRPr="008B23A1">
        <w:rPr>
          <w:rFonts w:cstheme="minorHAnsi"/>
          <w:sz w:val="24"/>
          <w:szCs w:val="24"/>
          <w:lang w:val="bg-BG"/>
        </w:rPr>
        <w:t>“ и предвиденото преструктуриране на м</w:t>
      </w:r>
      <w:proofErr w:type="spellStart"/>
      <w:r w:rsidR="0049355A" w:rsidRPr="008B23A1">
        <w:rPr>
          <w:rFonts w:cstheme="minorHAnsi"/>
          <w:sz w:val="24"/>
          <w:szCs w:val="24"/>
        </w:rPr>
        <w:t>ного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малки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49355A" w:rsidRPr="008B23A1">
        <w:rPr>
          <w:rFonts w:cstheme="minorHAnsi"/>
          <w:sz w:val="24"/>
          <w:szCs w:val="24"/>
        </w:rPr>
        <w:t>неефективни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болници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активно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лечение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r w:rsidR="00003BA2" w:rsidRPr="008B23A1">
        <w:rPr>
          <w:rFonts w:cstheme="minorHAnsi"/>
          <w:sz w:val="24"/>
          <w:szCs w:val="24"/>
          <w:lang w:val="bg-BG"/>
        </w:rPr>
        <w:t>„</w:t>
      </w:r>
      <w:r w:rsidR="0049355A" w:rsidRPr="008B23A1">
        <w:rPr>
          <w:rFonts w:cstheme="minorHAnsi"/>
          <w:sz w:val="24"/>
          <w:szCs w:val="24"/>
        </w:rPr>
        <w:t xml:space="preserve">в </w:t>
      </w:r>
      <w:proofErr w:type="spellStart"/>
      <w:r w:rsidR="0049355A" w:rsidRPr="008B23A1">
        <w:rPr>
          <w:rFonts w:cstheme="minorHAnsi"/>
          <w:sz w:val="24"/>
          <w:szCs w:val="24"/>
        </w:rPr>
        <w:t>медицински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центрове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с </w:t>
      </w:r>
      <w:proofErr w:type="spellStart"/>
      <w:r w:rsidR="0049355A" w:rsidRPr="008B23A1">
        <w:rPr>
          <w:rFonts w:cstheme="minorHAnsi"/>
          <w:sz w:val="24"/>
          <w:szCs w:val="24"/>
        </w:rPr>
        <w:t>легла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наблюдение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49355A" w:rsidRPr="008B23A1">
        <w:rPr>
          <w:rFonts w:cstheme="minorHAnsi"/>
          <w:sz w:val="24"/>
          <w:szCs w:val="24"/>
        </w:rPr>
        <w:t>лечение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до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48 </w:t>
      </w:r>
      <w:proofErr w:type="spellStart"/>
      <w:r w:rsidR="0049355A" w:rsidRPr="008B23A1">
        <w:rPr>
          <w:rFonts w:cstheme="minorHAnsi"/>
          <w:sz w:val="24"/>
          <w:szCs w:val="24"/>
        </w:rPr>
        <w:t>часа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в </w:t>
      </w:r>
      <w:proofErr w:type="spellStart"/>
      <w:r w:rsidR="0049355A" w:rsidRPr="008B23A1">
        <w:rPr>
          <w:rFonts w:cstheme="minorHAnsi"/>
          <w:sz w:val="24"/>
          <w:szCs w:val="24"/>
        </w:rPr>
        <w:t>структури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дългосрочни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грижи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- </w:t>
      </w:r>
      <w:proofErr w:type="spellStart"/>
      <w:r w:rsidR="0049355A" w:rsidRPr="008B23A1">
        <w:rPr>
          <w:rFonts w:cstheme="minorHAnsi"/>
          <w:sz w:val="24"/>
          <w:szCs w:val="24"/>
        </w:rPr>
        <w:t>регионални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лечебни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заведения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които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да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осигуряват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цяла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гама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от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социални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49355A" w:rsidRPr="008B23A1">
        <w:rPr>
          <w:rFonts w:cstheme="minorHAnsi"/>
          <w:sz w:val="24"/>
          <w:szCs w:val="24"/>
        </w:rPr>
        <w:t>медицински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грижи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: </w:t>
      </w:r>
      <w:proofErr w:type="spellStart"/>
      <w:r w:rsidR="0049355A" w:rsidRPr="008B23A1">
        <w:rPr>
          <w:rFonts w:cstheme="minorHAnsi"/>
          <w:sz w:val="24"/>
          <w:szCs w:val="24"/>
        </w:rPr>
        <w:t>амбулаторни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услуги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включително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мобилни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медицински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грижи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физиотерапия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услуги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дневни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грижи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в </w:t>
      </w:r>
      <w:proofErr w:type="spellStart"/>
      <w:r w:rsidR="0049355A" w:rsidRPr="008B23A1">
        <w:rPr>
          <w:rFonts w:cstheme="minorHAnsi"/>
          <w:sz w:val="24"/>
          <w:szCs w:val="24"/>
        </w:rPr>
        <w:t>известна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степен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грижи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за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отдих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</w:t>
      </w:r>
      <w:proofErr w:type="spellStart"/>
      <w:r w:rsidR="0049355A" w:rsidRPr="008B23A1">
        <w:rPr>
          <w:rFonts w:cstheme="minorHAnsi"/>
          <w:sz w:val="24"/>
          <w:szCs w:val="24"/>
        </w:rPr>
        <w:t>палиативни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грижи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предоставяни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както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място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, </w:t>
      </w:r>
      <w:proofErr w:type="spellStart"/>
      <w:r w:rsidR="0049355A" w:rsidRPr="008B23A1">
        <w:rPr>
          <w:rFonts w:cstheme="minorHAnsi"/>
          <w:sz w:val="24"/>
          <w:szCs w:val="24"/>
        </w:rPr>
        <w:t>така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и в </w:t>
      </w:r>
      <w:proofErr w:type="spellStart"/>
      <w:r w:rsidR="0049355A" w:rsidRPr="008B23A1">
        <w:rPr>
          <w:rFonts w:cstheme="minorHAnsi"/>
          <w:sz w:val="24"/>
          <w:szCs w:val="24"/>
        </w:rPr>
        <w:t>домашна</w:t>
      </w:r>
      <w:proofErr w:type="spellEnd"/>
      <w:r w:rsidR="0049355A" w:rsidRPr="008B23A1">
        <w:rPr>
          <w:rFonts w:cstheme="minorHAnsi"/>
          <w:sz w:val="24"/>
          <w:szCs w:val="24"/>
        </w:rPr>
        <w:t xml:space="preserve"> </w:t>
      </w:r>
      <w:proofErr w:type="spellStart"/>
      <w:r w:rsidR="0049355A" w:rsidRPr="008B23A1">
        <w:rPr>
          <w:rFonts w:cstheme="minorHAnsi"/>
          <w:sz w:val="24"/>
          <w:szCs w:val="24"/>
        </w:rPr>
        <w:t>среда</w:t>
      </w:r>
      <w:proofErr w:type="spellEnd"/>
      <w:r w:rsidR="0049355A" w:rsidRPr="008B23A1">
        <w:rPr>
          <w:rFonts w:cstheme="minorHAnsi"/>
          <w:sz w:val="24"/>
          <w:szCs w:val="24"/>
        </w:rPr>
        <w:t>.</w:t>
      </w:r>
      <w:r w:rsidRPr="008B23A1">
        <w:rPr>
          <w:rFonts w:cstheme="minorHAnsi"/>
          <w:sz w:val="24"/>
          <w:szCs w:val="24"/>
          <w:lang w:val="bg-BG"/>
        </w:rPr>
        <w:t>“</w:t>
      </w:r>
    </w:p>
    <w:p w14:paraId="13E4C14C" w14:textId="77777777" w:rsidR="00003BA2" w:rsidRPr="008B23A1" w:rsidRDefault="00003BA2" w:rsidP="00800C12">
      <w:pPr>
        <w:shd w:val="clear" w:color="auto" w:fill="FFFFFF"/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Решението, което предлагаме включва пакет от взаим</w:t>
      </w:r>
      <w:r w:rsidR="00A73DFE" w:rsidRPr="008B23A1">
        <w:rPr>
          <w:rFonts w:cstheme="minorHAnsi"/>
          <w:sz w:val="24"/>
          <w:szCs w:val="24"/>
          <w:lang w:val="bg-BG"/>
        </w:rPr>
        <w:t xml:space="preserve">нообвързани мерки, насочени към идентифицираните </w:t>
      </w:r>
      <w:r w:rsidRPr="008B23A1">
        <w:rPr>
          <w:rFonts w:cstheme="minorHAnsi"/>
          <w:sz w:val="24"/>
          <w:szCs w:val="24"/>
          <w:lang w:val="bg-BG"/>
        </w:rPr>
        <w:t xml:space="preserve">две </w:t>
      </w:r>
      <w:r w:rsidR="00A73DFE" w:rsidRPr="008B23A1">
        <w:rPr>
          <w:rFonts w:cstheme="minorHAnsi"/>
          <w:sz w:val="24"/>
          <w:szCs w:val="24"/>
          <w:lang w:val="bg-BG"/>
        </w:rPr>
        <w:t xml:space="preserve">целеви групи възрастни пациенти с </w:t>
      </w:r>
      <w:r w:rsidRPr="008B23A1">
        <w:rPr>
          <w:rFonts w:cstheme="minorHAnsi"/>
          <w:sz w:val="24"/>
          <w:szCs w:val="24"/>
          <w:lang w:val="bg-BG"/>
        </w:rPr>
        <w:t xml:space="preserve">потребност от </w:t>
      </w:r>
      <w:r w:rsidR="00A73DFE" w:rsidRPr="008B23A1">
        <w:rPr>
          <w:rFonts w:cstheme="minorHAnsi"/>
          <w:sz w:val="24"/>
          <w:szCs w:val="24"/>
          <w:lang w:val="bg-BG"/>
        </w:rPr>
        <w:t>дългосрочни медицински грижи</w:t>
      </w:r>
      <w:r w:rsidRPr="008B23A1">
        <w:rPr>
          <w:rFonts w:cstheme="minorHAnsi"/>
          <w:sz w:val="24"/>
          <w:szCs w:val="24"/>
          <w:lang w:val="bg-BG"/>
        </w:rPr>
        <w:t>:</w:t>
      </w:r>
    </w:p>
    <w:p w14:paraId="49D83B0E" w14:textId="77777777" w:rsidR="00A73DFE" w:rsidRPr="00BD5FA3" w:rsidRDefault="00003BA2" w:rsidP="00800C12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BD5FA3">
        <w:rPr>
          <w:rFonts w:cstheme="minorHAnsi"/>
          <w:b/>
          <w:bCs/>
          <w:sz w:val="24"/>
          <w:szCs w:val="24"/>
          <w:lang w:val="bg-BG"/>
        </w:rPr>
        <w:t>Възрастни пациенти с потребност от продължително лечен</w:t>
      </w:r>
      <w:r w:rsidR="00A73DFE" w:rsidRPr="00BD5FA3">
        <w:rPr>
          <w:rFonts w:cstheme="minorHAnsi"/>
          <w:b/>
          <w:bCs/>
          <w:sz w:val="24"/>
          <w:szCs w:val="24"/>
          <w:lang w:val="bg-BG"/>
        </w:rPr>
        <w:t>ие след проведено активно лечение на остри или изостени хронични заболявания</w:t>
      </w:r>
      <w:r w:rsidRPr="00BD5FA3">
        <w:rPr>
          <w:rFonts w:cstheme="minorHAnsi"/>
          <w:b/>
          <w:bCs/>
          <w:sz w:val="24"/>
          <w:szCs w:val="24"/>
          <w:lang w:val="bg-BG"/>
        </w:rPr>
        <w:t xml:space="preserve">. </w:t>
      </w:r>
    </w:p>
    <w:p w14:paraId="075E55A4" w14:textId="1EED46BC" w:rsidR="002D4405" w:rsidRPr="00BD5FA3" w:rsidRDefault="00003BA2" w:rsidP="00800C12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BD5FA3">
        <w:rPr>
          <w:rFonts w:cstheme="minorHAnsi"/>
          <w:b/>
          <w:bCs/>
          <w:sz w:val="24"/>
          <w:szCs w:val="24"/>
          <w:lang w:val="bg-BG"/>
        </w:rPr>
        <w:t>Възрастни пациенти с тежки соматични или психосоматични заболявания и състояния, в т.ч. инвалидизир</w:t>
      </w:r>
      <w:r w:rsidR="000B2789">
        <w:rPr>
          <w:rFonts w:cstheme="minorHAnsi"/>
          <w:b/>
          <w:bCs/>
          <w:sz w:val="24"/>
          <w:szCs w:val="24"/>
          <w:lang w:val="en-US"/>
        </w:rPr>
        <w:t>pe</w:t>
      </w:r>
      <w:r w:rsidRPr="00BD5FA3">
        <w:rPr>
          <w:rFonts w:cstheme="minorHAnsi"/>
          <w:b/>
          <w:bCs/>
          <w:sz w:val="24"/>
          <w:szCs w:val="24"/>
          <w:lang w:val="bg-BG"/>
        </w:rPr>
        <w:t>ани болни, които имат потребност от по-продължително или постоянно медицинско наблюдение и грижи с ниска интензивност.</w:t>
      </w:r>
    </w:p>
    <w:p w14:paraId="490827FB" w14:textId="6C8932F6" w:rsidR="00A73DFE" w:rsidRPr="008B23A1" w:rsidRDefault="00A73DFE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За решаване на проблемите, свързани с медицинското обслужване на първата </w:t>
      </w:r>
      <w:r w:rsidR="000B2789">
        <w:rPr>
          <w:rFonts w:cstheme="minorHAnsi"/>
          <w:sz w:val="24"/>
          <w:szCs w:val="24"/>
          <w:lang w:val="bg-BG"/>
        </w:rPr>
        <w:t>целева група</w:t>
      </w:r>
      <w:r w:rsidRPr="008B23A1">
        <w:rPr>
          <w:rFonts w:cstheme="minorHAnsi"/>
          <w:sz w:val="24"/>
          <w:szCs w:val="24"/>
          <w:lang w:val="bg-BG"/>
        </w:rPr>
        <w:t xml:space="preserve"> възрастни болни</w:t>
      </w:r>
      <w:r w:rsidR="000B2789">
        <w:rPr>
          <w:rFonts w:cstheme="minorHAnsi"/>
          <w:sz w:val="24"/>
          <w:szCs w:val="24"/>
          <w:lang w:val="en-US"/>
        </w:rPr>
        <w:t xml:space="preserve"> (</w:t>
      </w:r>
      <w:r w:rsidR="000B2789" w:rsidRPr="00BD5FA3">
        <w:rPr>
          <w:rFonts w:cstheme="minorHAnsi"/>
          <w:b/>
          <w:bCs/>
          <w:sz w:val="24"/>
          <w:szCs w:val="24"/>
          <w:lang w:val="bg-BG"/>
        </w:rPr>
        <w:t xml:space="preserve">Възрастни пациенти с потребност от продължително лечение след проведено активно лечение на остри или изостени хронични заболявания </w:t>
      </w:r>
      <w:r w:rsidR="000B2789">
        <w:rPr>
          <w:rFonts w:cstheme="minorHAnsi"/>
          <w:b/>
          <w:bCs/>
          <w:sz w:val="24"/>
          <w:szCs w:val="24"/>
          <w:lang w:val="en-US"/>
        </w:rPr>
        <w:t>)</w:t>
      </w:r>
      <w:r w:rsidRPr="008B23A1">
        <w:rPr>
          <w:rFonts w:cstheme="minorHAnsi"/>
          <w:sz w:val="24"/>
          <w:szCs w:val="24"/>
          <w:lang w:val="bg-BG"/>
        </w:rPr>
        <w:t xml:space="preserve"> предлагаме</w:t>
      </w:r>
      <w:r w:rsidR="002D4405" w:rsidRPr="008B23A1">
        <w:rPr>
          <w:rFonts w:cstheme="minorHAnsi"/>
          <w:sz w:val="24"/>
          <w:szCs w:val="24"/>
          <w:lang w:val="bg-BG"/>
        </w:rPr>
        <w:t xml:space="preserve"> следния комплекс от мерки</w:t>
      </w:r>
      <w:r w:rsidRPr="008B23A1">
        <w:rPr>
          <w:rFonts w:cstheme="minorHAnsi"/>
          <w:sz w:val="24"/>
          <w:szCs w:val="24"/>
          <w:lang w:val="bg-BG"/>
        </w:rPr>
        <w:t>:</w:t>
      </w:r>
    </w:p>
    <w:p w14:paraId="58F292E3" w14:textId="77777777" w:rsidR="002D4405" w:rsidRPr="008B23A1" w:rsidRDefault="002D4405" w:rsidP="00800C12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8B23A1">
        <w:rPr>
          <w:rFonts w:cstheme="minorHAnsi"/>
          <w:b/>
          <w:sz w:val="24"/>
          <w:szCs w:val="24"/>
          <w:lang w:val="bg-BG"/>
        </w:rPr>
        <w:t>Изменение и допълнение на</w:t>
      </w:r>
      <w:r w:rsidR="007546D6" w:rsidRPr="008B23A1">
        <w:rPr>
          <w:rFonts w:cstheme="minorHAnsi"/>
          <w:b/>
          <w:sz w:val="24"/>
          <w:szCs w:val="24"/>
          <w:lang w:val="bg-BG"/>
        </w:rPr>
        <w:t xml:space="preserve"> </w:t>
      </w:r>
      <w:r w:rsidR="00A73DFE" w:rsidRPr="008B23A1">
        <w:rPr>
          <w:rFonts w:cstheme="minorHAnsi"/>
          <w:b/>
          <w:sz w:val="24"/>
          <w:szCs w:val="24"/>
          <w:lang w:val="bg-BG"/>
        </w:rPr>
        <w:t>Наредба № 9 от 10 декември 2019 г. за определяне на пакета от здравни дейности, гарантиран от бюджета на Националната здравноосигурителна каса</w:t>
      </w:r>
      <w:r w:rsidRPr="008B23A1">
        <w:rPr>
          <w:rFonts w:cstheme="minorHAnsi"/>
          <w:b/>
          <w:sz w:val="24"/>
          <w:szCs w:val="24"/>
          <w:lang w:val="bg-BG"/>
        </w:rPr>
        <w:t>, в частта на Приложение № 12 за заболяванията за които се осигурява комплексно лечение (осигурява се всяка една отделна част от цялостния процес на лечение)</w:t>
      </w:r>
      <w:r w:rsidR="00B33F85" w:rsidRPr="008B23A1">
        <w:rPr>
          <w:rFonts w:cstheme="minorHAnsi"/>
          <w:b/>
          <w:sz w:val="24"/>
          <w:szCs w:val="24"/>
          <w:lang w:val="bg-BG"/>
        </w:rPr>
        <w:t xml:space="preserve"> и свързаните с него текстове в НРД</w:t>
      </w:r>
      <w:r w:rsidRPr="008B23A1">
        <w:rPr>
          <w:rFonts w:cstheme="minorHAnsi"/>
          <w:b/>
          <w:sz w:val="24"/>
          <w:szCs w:val="24"/>
          <w:lang w:val="bg-BG"/>
        </w:rPr>
        <w:t>.</w:t>
      </w:r>
    </w:p>
    <w:p w14:paraId="6CF9EBF9" w14:textId="77777777" w:rsidR="00CC5A1D" w:rsidRPr="00BD5FA3" w:rsidRDefault="002D4405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Изменението е свързано с </w:t>
      </w:r>
      <w:r w:rsidR="00CC5A1D" w:rsidRPr="00BD5FA3">
        <w:rPr>
          <w:rFonts w:cstheme="minorHAnsi"/>
          <w:sz w:val="24"/>
          <w:szCs w:val="24"/>
          <w:lang w:val="bg-BG"/>
        </w:rPr>
        <w:t>въвеждане на изискване за комплексно лечение на заболявания и състоянията, които попадат в обхвата на клиничните пътеки за продължително лечение и ранна рехабилитация - КП №  254 Продължително лечение и ранна рехабилитация след острия стадий на исхемичен и хеморагичен мозъчен инсулт с остатъчни проблеми за здравето,</w:t>
      </w:r>
      <w:r w:rsidR="00CC5A1D" w:rsidRPr="00BD5FA3">
        <w:rPr>
          <w:rFonts w:cstheme="minorHAnsi"/>
          <w:sz w:val="24"/>
          <w:szCs w:val="24"/>
        </w:rPr>
        <w:t xml:space="preserve"> </w:t>
      </w:r>
      <w:r w:rsidR="00CC5A1D" w:rsidRPr="00BD5FA3">
        <w:rPr>
          <w:rFonts w:cstheme="minorHAnsi"/>
          <w:sz w:val="24"/>
          <w:szCs w:val="24"/>
          <w:lang w:val="bg-BG"/>
        </w:rPr>
        <w:t>КП № 255 Продължително лечение и ранна рехабилитация след инфаркт на миокарда и след сърдечни интервенции</w:t>
      </w:r>
      <w:r w:rsidR="00CC5A1D" w:rsidRPr="00BD5FA3">
        <w:rPr>
          <w:rFonts w:cstheme="minorHAnsi"/>
          <w:sz w:val="24"/>
          <w:szCs w:val="24"/>
        </w:rPr>
        <w:t xml:space="preserve"> </w:t>
      </w:r>
      <w:r w:rsidR="00CC5A1D" w:rsidRPr="00BD5FA3">
        <w:rPr>
          <w:rFonts w:cstheme="minorHAnsi"/>
          <w:sz w:val="24"/>
          <w:szCs w:val="24"/>
          <w:lang w:val="bg-BG"/>
        </w:rPr>
        <w:t xml:space="preserve">и КП № 256 </w:t>
      </w:r>
      <w:r w:rsidR="00CC5A1D" w:rsidRPr="00BD5FA3">
        <w:rPr>
          <w:rFonts w:cstheme="minorHAnsi"/>
          <w:sz w:val="24"/>
          <w:szCs w:val="24"/>
          <w:lang w:val="bg-BG"/>
        </w:rPr>
        <w:lastRenderedPageBreak/>
        <w:t>Продължително лечение и ранна рехабилитация след оперативни интервенции с голям и много голям обем и сложност с остатъчни проблеми за здравето.</w:t>
      </w:r>
      <w:r w:rsidR="00B33F85" w:rsidRPr="00BD5FA3">
        <w:rPr>
          <w:rFonts w:cstheme="minorHAnsi"/>
          <w:sz w:val="24"/>
          <w:szCs w:val="24"/>
          <w:lang w:val="bg-BG"/>
        </w:rPr>
        <w:t xml:space="preserve"> </w:t>
      </w:r>
    </w:p>
    <w:p w14:paraId="4ADEA3AC" w14:textId="77777777" w:rsidR="002D4405" w:rsidRPr="00BD5FA3" w:rsidRDefault="00B33F85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Въвеждането на това </w:t>
      </w:r>
      <w:r w:rsidR="002D4405" w:rsidRPr="00BD5FA3">
        <w:rPr>
          <w:rFonts w:cstheme="minorHAnsi"/>
          <w:sz w:val="24"/>
          <w:szCs w:val="24"/>
          <w:lang w:val="bg-BG"/>
        </w:rPr>
        <w:t xml:space="preserve">изискването </w:t>
      </w:r>
      <w:r w:rsidRPr="00BD5FA3">
        <w:rPr>
          <w:rFonts w:cstheme="minorHAnsi"/>
          <w:sz w:val="24"/>
          <w:szCs w:val="24"/>
          <w:lang w:val="bg-BG"/>
        </w:rPr>
        <w:t xml:space="preserve">ще задължи </w:t>
      </w:r>
      <w:r w:rsidR="002D4405" w:rsidRPr="00BD5FA3">
        <w:rPr>
          <w:rFonts w:cstheme="minorHAnsi"/>
          <w:sz w:val="24"/>
          <w:szCs w:val="24"/>
          <w:lang w:val="bg-BG"/>
        </w:rPr>
        <w:t>всички болници</w:t>
      </w:r>
      <w:r w:rsidRPr="00BD5FA3">
        <w:rPr>
          <w:rFonts w:cstheme="minorHAnsi"/>
          <w:sz w:val="24"/>
          <w:szCs w:val="24"/>
          <w:lang w:val="bg-BG"/>
        </w:rPr>
        <w:t xml:space="preserve"> за активно лечение</w:t>
      </w:r>
      <w:r w:rsidR="002D4405" w:rsidRPr="00BD5FA3">
        <w:rPr>
          <w:rFonts w:cstheme="minorHAnsi"/>
          <w:sz w:val="24"/>
          <w:szCs w:val="24"/>
          <w:lang w:val="bg-BG"/>
        </w:rPr>
        <w:t xml:space="preserve">, които искат да договорят изпълнението на клинични пътеки за </w:t>
      </w:r>
      <w:r w:rsidR="00CC5A1D" w:rsidRPr="00BD5FA3">
        <w:rPr>
          <w:rFonts w:cstheme="minorHAnsi"/>
          <w:sz w:val="24"/>
          <w:szCs w:val="24"/>
          <w:lang w:val="bg-BG"/>
        </w:rPr>
        <w:t xml:space="preserve">активно </w:t>
      </w:r>
      <w:r w:rsidR="002D4405" w:rsidRPr="00BD5FA3">
        <w:rPr>
          <w:rFonts w:cstheme="minorHAnsi"/>
          <w:sz w:val="24"/>
          <w:szCs w:val="24"/>
          <w:lang w:val="bg-BG"/>
        </w:rPr>
        <w:t xml:space="preserve">лечение на заболявания, които попадат в обхвата на </w:t>
      </w:r>
      <w:r w:rsidR="00CC5A1D" w:rsidRPr="00BD5FA3">
        <w:rPr>
          <w:rFonts w:cstheme="minorHAnsi"/>
          <w:sz w:val="24"/>
          <w:szCs w:val="24"/>
          <w:lang w:val="bg-BG"/>
        </w:rPr>
        <w:t>КП №</w:t>
      </w:r>
      <w:r w:rsidRPr="00BD5FA3">
        <w:rPr>
          <w:rFonts w:cstheme="minorHAnsi"/>
          <w:sz w:val="24"/>
          <w:szCs w:val="24"/>
          <w:lang w:val="bg-BG"/>
        </w:rPr>
        <w:t>№</w:t>
      </w:r>
      <w:r w:rsidR="00CC5A1D" w:rsidRPr="00BD5FA3">
        <w:rPr>
          <w:rFonts w:cstheme="minorHAnsi"/>
          <w:sz w:val="24"/>
          <w:szCs w:val="24"/>
          <w:lang w:val="bg-BG"/>
        </w:rPr>
        <w:t xml:space="preserve"> 254, 255 и 256 </w:t>
      </w:r>
      <w:r w:rsidR="002D4405" w:rsidRPr="00BD5FA3">
        <w:rPr>
          <w:rFonts w:cstheme="minorHAnsi"/>
          <w:sz w:val="24"/>
          <w:szCs w:val="24"/>
          <w:lang w:val="bg-BG"/>
        </w:rPr>
        <w:t>да имат разкрити структури за продължително лечение</w:t>
      </w:r>
      <w:r w:rsidR="00CC5A1D" w:rsidRPr="00BD5FA3">
        <w:rPr>
          <w:rFonts w:cstheme="minorHAnsi"/>
          <w:sz w:val="24"/>
          <w:szCs w:val="24"/>
          <w:lang w:val="bg-BG"/>
        </w:rPr>
        <w:t>, изпълняващи тези клинични пътеки</w:t>
      </w:r>
      <w:r w:rsidR="002D4405" w:rsidRPr="00BD5FA3">
        <w:rPr>
          <w:rFonts w:cstheme="minorHAnsi"/>
          <w:sz w:val="24"/>
          <w:szCs w:val="24"/>
          <w:lang w:val="bg-BG"/>
        </w:rPr>
        <w:t xml:space="preserve"> или договор с </w:t>
      </w:r>
      <w:r w:rsidR="00CC5A1D" w:rsidRPr="00BD5FA3">
        <w:rPr>
          <w:rFonts w:cstheme="minorHAnsi"/>
          <w:sz w:val="24"/>
          <w:szCs w:val="24"/>
          <w:lang w:val="bg-BG"/>
        </w:rPr>
        <w:t xml:space="preserve">друго </w:t>
      </w:r>
      <w:r w:rsidR="002D4405" w:rsidRPr="00BD5FA3">
        <w:rPr>
          <w:rFonts w:cstheme="minorHAnsi"/>
          <w:sz w:val="24"/>
          <w:szCs w:val="24"/>
          <w:lang w:val="bg-BG"/>
        </w:rPr>
        <w:t>лечебно заведение при гарантиран капацитет</w:t>
      </w:r>
      <w:r w:rsidR="00CC5A1D" w:rsidRPr="00BD5FA3">
        <w:rPr>
          <w:rFonts w:cstheme="minorHAnsi"/>
          <w:sz w:val="24"/>
          <w:szCs w:val="24"/>
          <w:lang w:val="bg-BG"/>
        </w:rPr>
        <w:t xml:space="preserve"> за поемане на всички п</w:t>
      </w:r>
      <w:r w:rsidR="00230320" w:rsidRPr="00BD5FA3">
        <w:rPr>
          <w:rFonts w:cstheme="minorHAnsi"/>
          <w:sz w:val="24"/>
          <w:szCs w:val="24"/>
          <w:lang w:val="bg-BG"/>
        </w:rPr>
        <w:t>ациенти, нуждаещи се от продължа</w:t>
      </w:r>
      <w:r w:rsidR="00CC5A1D" w:rsidRPr="00BD5FA3">
        <w:rPr>
          <w:rFonts w:cstheme="minorHAnsi"/>
          <w:sz w:val="24"/>
          <w:szCs w:val="24"/>
          <w:lang w:val="bg-BG"/>
        </w:rPr>
        <w:t>ване на лечението</w:t>
      </w:r>
      <w:r w:rsidRPr="00BD5FA3">
        <w:rPr>
          <w:rFonts w:cstheme="minorHAnsi"/>
          <w:sz w:val="24"/>
          <w:szCs w:val="24"/>
          <w:lang w:val="bg-BG"/>
        </w:rPr>
        <w:t xml:space="preserve"> след приключване на активната фаза</w:t>
      </w:r>
      <w:r w:rsidR="00CC5A1D" w:rsidRPr="00BD5FA3">
        <w:rPr>
          <w:rFonts w:cstheme="minorHAnsi"/>
          <w:sz w:val="24"/>
          <w:szCs w:val="24"/>
          <w:lang w:val="bg-BG"/>
        </w:rPr>
        <w:t>.</w:t>
      </w:r>
    </w:p>
    <w:p w14:paraId="5A39CCD5" w14:textId="77777777" w:rsidR="003F2BF4" w:rsidRPr="00BD5FA3" w:rsidRDefault="00B33F85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Това от една страна ще гарантира на пациентите достъп до продължително лечение, респективно максимално възможно възстановяване след активното лечение, а от друга страна ще мотивира лечебните заведения да развиват дейностите по продължително лечение.</w:t>
      </w:r>
    </w:p>
    <w:p w14:paraId="7673EEED" w14:textId="77777777" w:rsidR="003F2BF4" w:rsidRPr="00BD5FA3" w:rsidRDefault="003F2BF4" w:rsidP="00800C12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 xml:space="preserve">Преглед и изменение на изискванията за изпълнение на КП за продължително лечение и палиативни грижи (КП №№ 253, 254, 255 и 256), заложени в НРД и Приложение № 17 към него, което да гарантира оптимално качество на медицинското обслужване без да ограничава възможните изпълнители на тази дейност. </w:t>
      </w:r>
    </w:p>
    <w:p w14:paraId="58A1FB59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Например въведеното в  КП № 256 Продължително лечение и ранна рехабилитация след оперативни интервенции с голям и много голям обем и сложност с остатъчни проблеми за здравето изискване „При разкрита клиника/отделение за продължително лечение в лечебното заведение, в същото лечебно заведение е необходимо да работят и четирима лекари със специалност хирургия или трима лекари със специалност ортопедия и травматология при задължителното наличие в двата случая и на структура по ФТР първо ниво на компетентност и лекар с придобита медицинска специалност по физикална и рехабилитационна медицина“ се доближава до изискванията за изпълнение на самите оперативни интервенции с голям и много голям обем и сложност, като по никакъв начин не кореспондира с обхвата на медицинските грижи по продължително лечение. </w:t>
      </w:r>
    </w:p>
    <w:p w14:paraId="59346BE8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Без промяна в изкуствено завишените изисквания за сключване на договор по тези 4 клинични пътеки, развитието на дейностите по продължително лечение и палиативни грижи, които НЗОК има задължение да финансира е практически невъзможно.</w:t>
      </w:r>
    </w:p>
    <w:p w14:paraId="4B1C96AC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Необходима е промяна и на заложеното в КП № 253 „Палиативни грижи за болни с онкологични заболявания“ изискване за „болничен престой общо 25 дни в рамките на терминалния стадий, в рамките на 6 месеца на онкологичното заболяване“, тъй като по мнението на експерти от Националното дружество по онкология минималната продължителност на тези грижи при пациенти с онкологични заболявания е 60 дни (два месеца) за периода на терминалното състояние.</w:t>
      </w:r>
    </w:p>
    <w:p w14:paraId="22CD13D6" w14:textId="77777777" w:rsidR="003F2BF4" w:rsidRPr="00BD5FA3" w:rsidRDefault="003F2BF4" w:rsidP="00800C12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Създаване на облекчена/ускорена процедура за разкриване на нови структури/легла по продължително лечение и палиативни грижи</w:t>
      </w:r>
    </w:p>
    <w:p w14:paraId="307EB9EE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Процедурата има за цел да облекчи лечебните заведения, които към момента нямат разкрити структури с легла за продължително лечение при кандидатстване за разрешаване на нови дейности за продължително лечение и/или палиативни грижи по реда на чл.37б от Закона за лечебните заведения, когато се намират в области с </w:t>
      </w:r>
      <w:r w:rsidRPr="00BD5FA3">
        <w:rPr>
          <w:rFonts w:cstheme="minorHAnsi"/>
          <w:sz w:val="24"/>
          <w:szCs w:val="24"/>
          <w:lang w:val="bg-BG"/>
        </w:rPr>
        <w:lastRenderedPageBreak/>
        <w:t>установен недостиг на легла за дългосрочни грижи съгласно Националната здравна карта.</w:t>
      </w:r>
    </w:p>
    <w:p w14:paraId="08AFBA5A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Алтернативен вариант се явява създаването на нормативна уредба, разрешаваща на лечебните заведения до определен срок да трансформират определен % от леглата за активно лечение по дадена специалност в легла за продължително лечение и ранна рехабилитация на болни, за което да уведомят съответната Регионална здравна инспекция.</w:t>
      </w:r>
    </w:p>
    <w:p w14:paraId="588CCED5" w14:textId="77777777" w:rsidR="003F2BF4" w:rsidRPr="00BD5FA3" w:rsidRDefault="003F2BF4" w:rsidP="00800C12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Провеждане на процедура за избор на лечебни заведения, с които НЗОК сключва договори по активно лечение по реда на чл. 34а от Закона за лечебните заведения в областите, в които броят на леглата за болнично лечение надвишава конкретните потребности от брой легла за активно лечение, определени с Националната здравна карта.</w:t>
      </w:r>
    </w:p>
    <w:p w14:paraId="2CE7ADCD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По данни от официалната страница на НЗОК към</w:t>
      </w:r>
      <w:r w:rsidR="00230320" w:rsidRPr="00BD5FA3">
        <w:rPr>
          <w:rFonts w:cstheme="minorHAnsi"/>
          <w:sz w:val="24"/>
          <w:szCs w:val="24"/>
          <w:lang w:val="bg-BG"/>
        </w:rPr>
        <w:t xml:space="preserve"> м.април 2025 г. НЗОК има сключени</w:t>
      </w:r>
      <w:r w:rsidRPr="00BD5FA3">
        <w:rPr>
          <w:rFonts w:cstheme="minorHAnsi"/>
          <w:sz w:val="24"/>
          <w:szCs w:val="24"/>
          <w:lang w:val="bg-BG"/>
        </w:rPr>
        <w:t xml:space="preserve"> договор</w:t>
      </w:r>
      <w:r w:rsidR="00230320" w:rsidRPr="00BD5FA3">
        <w:rPr>
          <w:rFonts w:cstheme="minorHAnsi"/>
          <w:sz w:val="24"/>
          <w:szCs w:val="24"/>
          <w:lang w:val="bg-BG"/>
        </w:rPr>
        <w:t>и</w:t>
      </w:r>
      <w:r w:rsidRPr="00BD5FA3">
        <w:rPr>
          <w:rFonts w:cstheme="minorHAnsi"/>
          <w:sz w:val="24"/>
          <w:szCs w:val="24"/>
          <w:lang w:val="bg-BG"/>
        </w:rPr>
        <w:t xml:space="preserve"> за 49</w:t>
      </w:r>
      <w:r w:rsidR="00230320" w:rsidRPr="00BD5FA3">
        <w:rPr>
          <w:rFonts w:cstheme="minorHAnsi"/>
          <w:sz w:val="24"/>
          <w:szCs w:val="24"/>
          <w:lang w:val="bg-BG"/>
        </w:rPr>
        <w:t xml:space="preserve"> </w:t>
      </w:r>
      <w:r w:rsidRPr="00BD5FA3">
        <w:rPr>
          <w:rFonts w:cstheme="minorHAnsi"/>
          <w:sz w:val="24"/>
          <w:szCs w:val="24"/>
          <w:lang w:val="bg-BG"/>
        </w:rPr>
        <w:t>927 болнични легла, които са с 54.50 % използваемост. Въпреки, че няма данни за разпредел</w:t>
      </w:r>
      <w:r w:rsidR="00230320" w:rsidRPr="00BD5FA3">
        <w:rPr>
          <w:rFonts w:cstheme="minorHAnsi"/>
          <w:sz w:val="24"/>
          <w:szCs w:val="24"/>
          <w:lang w:val="bg-BG"/>
        </w:rPr>
        <w:t>е</w:t>
      </w:r>
      <w:r w:rsidRPr="00BD5FA3">
        <w:rPr>
          <w:rFonts w:cstheme="minorHAnsi"/>
          <w:sz w:val="24"/>
          <w:szCs w:val="24"/>
          <w:lang w:val="bg-BG"/>
        </w:rPr>
        <w:t>нието на леглата по видове, общият брой значително надвишава предвидените в Националната здравна карта от 2018 г. 32 913 легла за активно лечение и разкритите легла по дизикална и рехабилитационна медицина и дългосрочни грижи. Това дава основание да се счита, че в много области на страната, в т.ч. в София, броят на договорените легла надвишава значително определените в НЗК 2018 г. потребности.</w:t>
      </w:r>
    </w:p>
    <w:p w14:paraId="4F0364F1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Извършването на процедурата по избор на договорните партньори на НЗОК по реда на Наредбата за критериите и реда за избор на лечебни заведения за болнична помощ, с които Националната здравноосигурителна каса сключва договори, освен че е законово задължение на обществената институция, ще ускори процеса на преструктуриране на лечебните заведения и намаляване на разкритите легла за активно лечение за сметка на леглата за продължително лечение. Това от своя страна ще ограничи непрекъснато нарастващите разходи за активно лечение и ще освободи финансов ресурс за финансиране на дейностите по продължително лечение.</w:t>
      </w:r>
    </w:p>
    <w:p w14:paraId="504458BA" w14:textId="77777777" w:rsidR="0080547A" w:rsidRPr="00BD5FA3" w:rsidRDefault="0080547A" w:rsidP="00800C12">
      <w:pPr>
        <w:pStyle w:val="ListParagraph"/>
        <w:numPr>
          <w:ilvl w:val="0"/>
          <w:numId w:val="3"/>
        </w:numPr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Изменение и допълнение на Наредба 3 от 5 април 2019 г. за медицинските дейности извън обхвата на задължителното здравно осигуряване, за които Mинистерството на здравеопазването субсидира лечебни заведения, и за критериите и реда за субсидиране на лечебни заведения и насочване на основната част от субсидията за лечебни заведения в труднодостъпни и/или отдалечени райони за субсидиране на дейности за продължително лечение.</w:t>
      </w:r>
    </w:p>
    <w:p w14:paraId="690CB5FA" w14:textId="77777777" w:rsidR="0080547A" w:rsidRPr="00BD5FA3" w:rsidRDefault="0080547A" w:rsidP="00800C12">
      <w:pPr>
        <w:spacing w:after="0"/>
        <w:ind w:firstLine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D5FA3">
        <w:rPr>
          <w:rFonts w:cstheme="minorHAnsi"/>
          <w:sz w:val="24"/>
          <w:szCs w:val="24"/>
          <w:lang w:val="bg-BG"/>
        </w:rPr>
        <w:t>И към момента Министерство на здравеопазването субсидира голяма част от общинските болници за дейността им по поддържане на капацитет и осигуряване на диагностика и лечение на пациенти</w:t>
      </w:r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продължително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лечение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пациенти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със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сърдечно-съдови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заболявания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(с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изключение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остър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миокарден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инфаркт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), с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нервни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болести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(с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изключение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мозъчен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инсулт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) и с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белодробни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заболявания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BD5FA3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Размерът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общия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финансов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ресурс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всяка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болница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съответната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определя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зависимост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броя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обслужваното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население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официални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данни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Националния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статистически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институт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броя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преминалите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през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предходната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година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пациенти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обема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извършваната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медицинска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дейност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измерен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през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реализираните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приходи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годишна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база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медицинска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дейност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7AE32EE" w14:textId="77777777" w:rsidR="0080547A" w:rsidRPr="00BD5FA3" w:rsidRDefault="0080547A" w:rsidP="00800C12">
      <w:pPr>
        <w:spacing w:after="0"/>
        <w:ind w:firstLine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Целесъобразно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е в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методиката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определяне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размера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общият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финансов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ресурс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въведе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D5FA3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отделен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критерий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брой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болни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преминали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продължително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лечение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който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отчита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всяко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тримесечие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в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зависимост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него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коригира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размера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субсидията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създадат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стимули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лечебните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заведения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предоставят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този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вид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медицинска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помощ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населението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0E498A5" w14:textId="77777777" w:rsidR="0080547A" w:rsidRPr="00BD5FA3" w:rsidRDefault="0080547A" w:rsidP="00800C12">
      <w:pPr>
        <w:spacing w:after="0"/>
        <w:ind w:firstLine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Алтернативен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вариант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е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част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средствата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предоставят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като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общ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финансов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резурс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друга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част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като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заплащане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реализирана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отчетена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дейност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ред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подобен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реда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субсидиране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отделенията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спешна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медицина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болничните</w:t>
      </w:r>
      <w:proofErr w:type="spellEnd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>заведения</w:t>
      </w:r>
      <w:proofErr w:type="spellEnd"/>
      <w:r w:rsidR="00955133" w:rsidRPr="00BD5FA3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 Необходимо е да се предвиди и определен период за продължително лечение, аналогичен на срока, заложен в изискванията на клиничните пътеки за продължително лечение и ранна рехабилитация в НРД</w:t>
      </w:r>
      <w:r w:rsidRPr="00BD5FA3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3CC0D705" w14:textId="77777777" w:rsidR="0080547A" w:rsidRPr="00BD5FA3" w:rsidRDefault="0080547A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По този начин субсидията, която се предоставя от МЗ ще гарантира продължителното лечение </w:t>
      </w:r>
      <w:r w:rsidR="00955133" w:rsidRPr="00BD5FA3">
        <w:rPr>
          <w:rFonts w:cstheme="minorHAnsi"/>
          <w:sz w:val="24"/>
          <w:szCs w:val="24"/>
          <w:lang w:val="bg-BG"/>
        </w:rPr>
        <w:t xml:space="preserve">и </w:t>
      </w:r>
      <w:r w:rsidRPr="00BD5FA3">
        <w:rPr>
          <w:rFonts w:cstheme="minorHAnsi"/>
          <w:sz w:val="24"/>
          <w:szCs w:val="24"/>
          <w:lang w:val="bg-BG"/>
        </w:rPr>
        <w:t xml:space="preserve">на </w:t>
      </w:r>
      <w:r w:rsidR="00955133" w:rsidRPr="00BD5FA3">
        <w:rPr>
          <w:rFonts w:cstheme="minorHAnsi"/>
          <w:sz w:val="24"/>
          <w:szCs w:val="24"/>
          <w:lang w:val="bg-BG"/>
        </w:rPr>
        <w:t xml:space="preserve">част от </w:t>
      </w:r>
      <w:r w:rsidRPr="00BD5FA3">
        <w:rPr>
          <w:rFonts w:cstheme="minorHAnsi"/>
          <w:sz w:val="24"/>
          <w:szCs w:val="24"/>
          <w:lang w:val="bg-BG"/>
        </w:rPr>
        <w:t>пациенти</w:t>
      </w:r>
      <w:r w:rsidR="00955133" w:rsidRPr="00BD5FA3">
        <w:rPr>
          <w:rFonts w:cstheme="minorHAnsi"/>
          <w:sz w:val="24"/>
          <w:szCs w:val="24"/>
          <w:lang w:val="bg-BG"/>
        </w:rPr>
        <w:t>те</w:t>
      </w:r>
      <w:r w:rsidRPr="00BD5FA3">
        <w:rPr>
          <w:rFonts w:cstheme="minorHAnsi"/>
          <w:sz w:val="24"/>
          <w:szCs w:val="24"/>
          <w:lang w:val="bg-BG"/>
        </w:rPr>
        <w:t xml:space="preserve"> със заболявания и състояния извън обхвата на клиничните пътеки, заплащани от НЗОК.</w:t>
      </w:r>
    </w:p>
    <w:p w14:paraId="4D05B5EE" w14:textId="77777777" w:rsidR="003F2BF4" w:rsidRPr="00BD5FA3" w:rsidRDefault="003F2BF4" w:rsidP="00800C12">
      <w:pPr>
        <w:spacing w:after="0"/>
        <w:ind w:firstLine="720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Горепосочените мерки могат да бъдат реализирани в срок от 6 месеца до 1 година и да влязат в сила в периода на приемане на новия Национален рамков договор за медицинските дейности 2026-2028 г.</w:t>
      </w:r>
    </w:p>
    <w:p w14:paraId="6F214081" w14:textId="2E8B9A6A" w:rsidR="003F2BF4" w:rsidRPr="00BD5FA3" w:rsidRDefault="003F2BF4" w:rsidP="00800C12">
      <w:pPr>
        <w:spacing w:after="0"/>
        <w:ind w:firstLine="720"/>
        <w:jc w:val="both"/>
        <w:rPr>
          <w:rFonts w:cstheme="minorHAnsi"/>
          <w:sz w:val="24"/>
          <w:szCs w:val="24"/>
          <w:lang w:val="en-US"/>
        </w:rPr>
      </w:pPr>
      <w:r w:rsidRPr="00BD5FA3">
        <w:rPr>
          <w:rFonts w:cstheme="minorHAnsi"/>
          <w:sz w:val="24"/>
          <w:szCs w:val="24"/>
          <w:lang w:val="bg-BG"/>
        </w:rPr>
        <w:t xml:space="preserve">За решаване на проблемите, свързани с </w:t>
      </w:r>
      <w:r w:rsidR="000067B0" w:rsidRPr="00BD5FA3">
        <w:rPr>
          <w:rFonts w:cstheme="minorHAnsi"/>
          <w:sz w:val="24"/>
          <w:szCs w:val="24"/>
          <w:lang w:val="bg-BG"/>
        </w:rPr>
        <w:t>медицинското обслужване на втора</w:t>
      </w:r>
      <w:r w:rsidRPr="00BD5FA3">
        <w:rPr>
          <w:rFonts w:cstheme="minorHAnsi"/>
          <w:sz w:val="24"/>
          <w:szCs w:val="24"/>
          <w:lang w:val="bg-BG"/>
        </w:rPr>
        <w:t xml:space="preserve">та </w:t>
      </w:r>
      <w:r w:rsidR="000B2789">
        <w:rPr>
          <w:rFonts w:cstheme="minorHAnsi"/>
          <w:sz w:val="24"/>
          <w:szCs w:val="24"/>
          <w:lang w:val="bg-BG"/>
        </w:rPr>
        <w:t>целева група</w:t>
      </w:r>
      <w:r w:rsidRPr="00BD5FA3">
        <w:rPr>
          <w:rFonts w:cstheme="minorHAnsi"/>
          <w:sz w:val="24"/>
          <w:szCs w:val="24"/>
          <w:lang w:val="bg-BG"/>
        </w:rPr>
        <w:t xml:space="preserve"> възрастни болни</w:t>
      </w:r>
      <w:r w:rsidR="000B2789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Възрастни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пациенти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с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тежки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соматични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или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психосоматични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заболявания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и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състояния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, в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т.ч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.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инвалидизирpeани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болни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които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имат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потребност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от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по-продължително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или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постоянно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медицинско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наблюдение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и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грижи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с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ниска</w:t>
      </w:r>
      <w:proofErr w:type="spellEnd"/>
      <w:r w:rsidR="000B2789" w:rsidRPr="000B278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B2789" w:rsidRPr="000B2789">
        <w:rPr>
          <w:rFonts w:cstheme="minorHAnsi"/>
          <w:b/>
          <w:bCs/>
          <w:sz w:val="24"/>
          <w:szCs w:val="24"/>
          <w:lang w:val="en-US"/>
        </w:rPr>
        <w:t>интензивност</w:t>
      </w:r>
      <w:proofErr w:type="spellEnd"/>
      <w:r w:rsidR="000B2789">
        <w:rPr>
          <w:rFonts w:cstheme="minorHAnsi"/>
          <w:sz w:val="24"/>
          <w:szCs w:val="24"/>
          <w:lang w:val="en-US"/>
        </w:rPr>
        <w:t>)</w:t>
      </w:r>
      <w:r w:rsidRPr="00BD5FA3">
        <w:rPr>
          <w:rFonts w:cstheme="minorHAnsi"/>
          <w:sz w:val="24"/>
          <w:szCs w:val="24"/>
          <w:lang w:val="bg-BG"/>
        </w:rPr>
        <w:t xml:space="preserve"> предлагаме следния комплекс от мерки:</w:t>
      </w:r>
    </w:p>
    <w:p w14:paraId="69B474EB" w14:textId="77777777" w:rsidR="00F31680" w:rsidRPr="00BD5FA3" w:rsidRDefault="00F31680" w:rsidP="00F31680">
      <w:pPr>
        <w:pStyle w:val="ListParagraph"/>
        <w:numPr>
          <w:ilvl w:val="0"/>
          <w:numId w:val="8"/>
        </w:numPr>
        <w:tabs>
          <w:tab w:val="left" w:pos="1276"/>
        </w:tabs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Промяна в  чл. 141, ал.1 и ал.2 от Закона за социалните услуги, съгласно които резидентна грижа като част от интегрирана здравно-социална услуга не може да се предоставя в лечебни заведения и даване на право на лечебните заведения да предоставят интегрирани здравно-социални услуги, включващи и резидентна грижа.</w:t>
      </w:r>
    </w:p>
    <w:p w14:paraId="4AF6567A" w14:textId="77777777" w:rsidR="00F31680" w:rsidRPr="00BD5FA3" w:rsidRDefault="00F31680" w:rsidP="00F31680">
      <w:pPr>
        <w:tabs>
          <w:tab w:val="left" w:pos="709"/>
          <w:tab w:val="left" w:pos="1276"/>
        </w:tabs>
        <w:spacing w:after="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ab/>
        <w:t>Изключването на лечебните заведения от възможните доставчици на интегрирани здравно-социални услуги с резидентна грижа за възрастни хора със сериозни медицински проблеми е лишено от логика и смисъл и следва да бъде променено незабавно в контекста на обсъжданата проблематика.</w:t>
      </w:r>
    </w:p>
    <w:p w14:paraId="676070DE" w14:textId="77777777" w:rsidR="000D1B95" w:rsidRPr="00BD5FA3" w:rsidRDefault="000D1B95" w:rsidP="00800C12">
      <w:pPr>
        <w:pStyle w:val="ListParagraph"/>
        <w:numPr>
          <w:ilvl w:val="0"/>
          <w:numId w:val="8"/>
        </w:numPr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 xml:space="preserve">Иницииране </w:t>
      </w:r>
      <w:r w:rsidR="001F53C3" w:rsidRPr="00BD5FA3">
        <w:rPr>
          <w:rFonts w:cstheme="minorHAnsi"/>
          <w:b/>
          <w:sz w:val="24"/>
          <w:szCs w:val="24"/>
          <w:lang w:val="bg-BG"/>
        </w:rPr>
        <w:t xml:space="preserve">от страна на МЗ </w:t>
      </w:r>
      <w:r w:rsidRPr="00BD5FA3">
        <w:rPr>
          <w:rFonts w:cstheme="minorHAnsi"/>
          <w:b/>
          <w:sz w:val="24"/>
          <w:szCs w:val="24"/>
          <w:lang w:val="bg-BG"/>
        </w:rPr>
        <w:t>на среща с Министерството на труда и социалната политика и Агенцията за социално подпомагане за изготвяне на съвместни указания към лечебните заведения за възможностите да предоставят социални услуги и интегрирани здравно-социални услуги при условията и по реда на Закона за социалните услуги</w:t>
      </w:r>
      <w:r w:rsidR="00F31680" w:rsidRPr="00BD5FA3">
        <w:rPr>
          <w:rFonts w:cstheme="minorHAnsi"/>
          <w:b/>
          <w:sz w:val="24"/>
          <w:szCs w:val="24"/>
          <w:lang w:val="bg-BG"/>
        </w:rPr>
        <w:t xml:space="preserve"> иачините за кандидатстване като доставчици на такива услуги</w:t>
      </w:r>
      <w:r w:rsidRPr="00BD5FA3">
        <w:rPr>
          <w:rFonts w:cstheme="minorHAnsi"/>
          <w:b/>
          <w:sz w:val="24"/>
          <w:szCs w:val="24"/>
          <w:lang w:val="bg-BG"/>
        </w:rPr>
        <w:t>.</w:t>
      </w:r>
    </w:p>
    <w:p w14:paraId="79D6D9B9" w14:textId="77777777" w:rsidR="00F31680" w:rsidRPr="00BD5FA3" w:rsidRDefault="001F53C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Съгласно чл..2, ал.4 на Закона за лечебните заведения, лечебните заведения могат да предоставят социални услуги и интегрирани здравно-социални услуги при условията и по реда на Закона за социалните услуги. </w:t>
      </w:r>
    </w:p>
    <w:p w14:paraId="426B8FAF" w14:textId="77777777" w:rsidR="001F53C3" w:rsidRPr="00BD5FA3" w:rsidRDefault="001F53C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Развитието на такива услуги е възможност за надграждане на медицинските грижи за</w:t>
      </w:r>
      <w:r w:rsidR="00230320" w:rsidRPr="00BD5FA3">
        <w:rPr>
          <w:rFonts w:cstheme="minorHAnsi"/>
          <w:sz w:val="24"/>
          <w:szCs w:val="24"/>
          <w:lang w:val="bg-BG"/>
        </w:rPr>
        <w:t xml:space="preserve"> възрастните пациенти, в т.ч  чрез</w:t>
      </w:r>
      <w:r w:rsidRPr="00BD5FA3">
        <w:rPr>
          <w:rFonts w:cstheme="minorHAnsi"/>
          <w:sz w:val="24"/>
          <w:szCs w:val="24"/>
          <w:lang w:val="bg-BG"/>
        </w:rPr>
        <w:t xml:space="preserve"> развитие на услуги в общността, които болничните специалисти да осъществяват в рамките на съответната социална или интегрирана здравно-социална услуга. По този начин ще се осигури и допълнителна линия на финансиране на тези лечебни заведения</w:t>
      </w:r>
      <w:r w:rsidR="00EF361C" w:rsidRPr="00BD5FA3">
        <w:rPr>
          <w:rFonts w:cstheme="minorHAnsi"/>
          <w:sz w:val="24"/>
          <w:szCs w:val="24"/>
          <w:lang w:val="bg-BG"/>
        </w:rPr>
        <w:t>.</w:t>
      </w:r>
    </w:p>
    <w:p w14:paraId="3374019E" w14:textId="77777777" w:rsidR="00F31680" w:rsidRPr="00BD5FA3" w:rsidRDefault="00F31680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lastRenderedPageBreak/>
        <w:t>Ангажираността на МТСП в този процес е ключово за реализацията на тези дейности.</w:t>
      </w:r>
    </w:p>
    <w:p w14:paraId="046EEA76" w14:textId="77777777" w:rsidR="000D1B95" w:rsidRPr="00BD5FA3" w:rsidRDefault="001F53C3" w:rsidP="00800C12">
      <w:pPr>
        <w:pStyle w:val="ListParagraph"/>
        <w:numPr>
          <w:ilvl w:val="0"/>
          <w:numId w:val="8"/>
        </w:numPr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Иницииране от страна на МЗ на среща с Националното сдружение на общините в България и кметове на общини, в които има разкрити общински лечебни заведение за подкрепа на развитието на дейностите по дългосрочни медицински грижи за възрастните хора от съответната община.</w:t>
      </w:r>
    </w:p>
    <w:p w14:paraId="2E255F19" w14:textId="77777777" w:rsidR="000D1B95" w:rsidRPr="00BD5FA3" w:rsidRDefault="001F53C3" w:rsidP="00800C12">
      <w:pPr>
        <w:spacing w:after="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ab/>
        <w:t>И в момента много общини подпомагат под различна форма дейността на общинските болници</w:t>
      </w:r>
      <w:r w:rsidR="0080547A" w:rsidRPr="00BD5FA3">
        <w:rPr>
          <w:rFonts w:cstheme="minorHAnsi"/>
          <w:sz w:val="24"/>
          <w:szCs w:val="24"/>
          <w:lang w:val="bg-BG"/>
        </w:rPr>
        <w:t>. Доколкото грижата за здравето и качеството на живот на гражданите на съответната община е публично деклариран ангажимент на местната власт, политиките за развитието на дейностите по дългосрочни медицински грижи за възрастните хора, биха били оценени и подкрепени от общинските ръководства.</w:t>
      </w:r>
    </w:p>
    <w:p w14:paraId="6ABE1EB1" w14:textId="77777777" w:rsidR="0080547A" w:rsidRPr="00BD5FA3" w:rsidRDefault="003F2BF4" w:rsidP="00800C12">
      <w:pPr>
        <w:pStyle w:val="ListParagraph"/>
        <w:numPr>
          <w:ilvl w:val="0"/>
          <w:numId w:val="8"/>
        </w:numPr>
        <w:spacing w:after="0"/>
        <w:ind w:left="0" w:firstLine="709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Изготвяне на указания за лечебните заведения за формиране на цено</w:t>
      </w:r>
      <w:r w:rsidR="0080547A" w:rsidRPr="00BD5FA3">
        <w:rPr>
          <w:rFonts w:cstheme="minorHAnsi"/>
          <w:b/>
          <w:sz w:val="24"/>
          <w:szCs w:val="24"/>
          <w:lang w:val="bg-BG"/>
        </w:rPr>
        <w:t>разпис на платени</w:t>
      </w:r>
      <w:r w:rsidRPr="00BD5FA3">
        <w:rPr>
          <w:rFonts w:cstheme="minorHAnsi"/>
          <w:b/>
          <w:sz w:val="24"/>
          <w:szCs w:val="24"/>
          <w:lang w:val="bg-BG"/>
        </w:rPr>
        <w:t xml:space="preserve"> услуги</w:t>
      </w:r>
      <w:r w:rsidR="0080547A" w:rsidRPr="00BD5FA3">
        <w:rPr>
          <w:rFonts w:cstheme="minorHAnsi"/>
          <w:b/>
          <w:sz w:val="24"/>
          <w:szCs w:val="24"/>
          <w:lang w:val="bg-BG"/>
        </w:rPr>
        <w:t xml:space="preserve"> на възрастни пациенти с тежки соматични или психосоматични заболявания и състояния, в т.ч. инвалидизирани болни, които имат потребност от по-продължително или постоянно медицинско наблюдение и грижи с ниска интензивност.</w:t>
      </w:r>
    </w:p>
    <w:p w14:paraId="1AAC59A0" w14:textId="77777777" w:rsidR="003F2BF4" w:rsidRPr="00BD5FA3" w:rsidRDefault="0095513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Доколкото тези услуги не се включват в пакета здравни дейности, които заплаща НЗОК, както и в дейностите, субсидирани от МЗ, лечебните заведения имат право да формират цена на предоставените услуги и да ги предоставят срещу заплащане от страна на пациентите/техните близки. </w:t>
      </w:r>
    </w:p>
    <w:p w14:paraId="60F70320" w14:textId="77777777" w:rsidR="006A6D0D" w:rsidRPr="00BD5FA3" w:rsidRDefault="0095513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Министерство на здравеопазването, съвместно с общинските власти може да подпомогне методологически процеса на остойностяване на услугите и/или да осигури публичност на предлаганите услуги за продължително лечение, като публикува на страницата си </w:t>
      </w:r>
      <w:r w:rsidR="00230320" w:rsidRPr="00BD5FA3">
        <w:rPr>
          <w:rFonts w:cstheme="minorHAnsi"/>
          <w:sz w:val="24"/>
          <w:szCs w:val="24"/>
          <w:lang w:val="bg-BG"/>
        </w:rPr>
        <w:t>всички услуги по продъ</w:t>
      </w:r>
      <w:r w:rsidRPr="00BD5FA3">
        <w:rPr>
          <w:rFonts w:cstheme="minorHAnsi"/>
          <w:sz w:val="24"/>
          <w:szCs w:val="24"/>
          <w:lang w:val="bg-BG"/>
        </w:rPr>
        <w:t>лжително лечение и дългосрочни грижи на всички лечебни заведения</w:t>
      </w:r>
      <w:r w:rsidR="006A6D0D" w:rsidRPr="00BD5FA3">
        <w:rPr>
          <w:rFonts w:cstheme="minorHAnsi"/>
          <w:sz w:val="24"/>
          <w:szCs w:val="24"/>
          <w:lang w:val="bg-BG"/>
        </w:rPr>
        <w:t>, както и начините за ползване на услугите – чрез заплащане от НЗОК, МЗ, АСП или частни плащания.</w:t>
      </w:r>
    </w:p>
    <w:p w14:paraId="7F3FBEB5" w14:textId="77777777" w:rsidR="009016A9" w:rsidRPr="00BD5FA3" w:rsidRDefault="009016A9" w:rsidP="00800C12">
      <w:pPr>
        <w:spacing w:after="0"/>
        <w:ind w:firstLine="720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Горепосочените мерки могат да бъдат реализирани в срок от 1 до 2 месеца.</w:t>
      </w:r>
    </w:p>
    <w:p w14:paraId="4B842F06" w14:textId="77777777" w:rsidR="00F31680" w:rsidRPr="00BD5FA3" w:rsidRDefault="00F31680" w:rsidP="00800C12">
      <w:pPr>
        <w:spacing w:after="0"/>
        <w:ind w:firstLine="720"/>
        <w:jc w:val="both"/>
        <w:rPr>
          <w:rFonts w:cstheme="minorHAnsi"/>
          <w:b/>
          <w:sz w:val="24"/>
          <w:szCs w:val="24"/>
          <w:lang w:val="bg-BG"/>
        </w:rPr>
      </w:pPr>
    </w:p>
    <w:p w14:paraId="290CCA07" w14:textId="77777777" w:rsidR="006A6D0D" w:rsidRPr="00BD5FA3" w:rsidRDefault="006A6D0D" w:rsidP="00800C12">
      <w:pPr>
        <w:spacing w:after="0"/>
        <w:ind w:firstLine="720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Ф</w:t>
      </w:r>
      <w:r w:rsidR="0007234B" w:rsidRPr="00BD5FA3">
        <w:rPr>
          <w:rFonts w:cstheme="minorHAnsi"/>
          <w:b/>
          <w:sz w:val="24"/>
          <w:szCs w:val="24"/>
          <w:lang w:val="bg-BG"/>
        </w:rPr>
        <w:t>инансов анализ на предложението</w:t>
      </w:r>
    </w:p>
    <w:p w14:paraId="6AAF4801" w14:textId="77777777" w:rsidR="00714B91" w:rsidRPr="00BD5FA3" w:rsidRDefault="00714B91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</w:p>
    <w:p w14:paraId="616A49EB" w14:textId="77777777" w:rsidR="006A6D0D" w:rsidRPr="00BD5FA3" w:rsidRDefault="006A6D0D" w:rsidP="00800C12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sz w:val="24"/>
          <w:szCs w:val="24"/>
          <w:lang w:val="bg-BG"/>
        </w:rPr>
      </w:pPr>
      <w:r w:rsidRPr="00BD5FA3">
        <w:rPr>
          <w:rFonts w:cstheme="minorHAnsi"/>
          <w:b/>
          <w:sz w:val="24"/>
          <w:szCs w:val="24"/>
          <w:lang w:val="bg-BG"/>
        </w:rPr>
        <w:t>Финансиране на дейностите по продължително лечение и палиативни грижи, заплащани с публични средства:</w:t>
      </w:r>
    </w:p>
    <w:p w14:paraId="45A2AA5E" w14:textId="78F993CA" w:rsidR="00B33F85" w:rsidRPr="00BD5FA3" w:rsidRDefault="006A6D0D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Дейностите по продължително лечение след активно лечение и палиативни грижи, които са включени в пакета здравни дейност, финансирани от бюджета на НЗОК, а именно КП №№ 253, 254, 255 и 256 обхващат 90 % от случаите на пациенти с нужда от так</w:t>
      </w:r>
      <w:r w:rsidR="008B23A1" w:rsidRPr="00BD5FA3">
        <w:rPr>
          <w:rFonts w:cstheme="minorHAnsi"/>
          <w:sz w:val="24"/>
          <w:szCs w:val="24"/>
          <w:lang w:val="bg-BG"/>
        </w:rPr>
        <w:t>ъ</w:t>
      </w:r>
      <w:r w:rsidRPr="00BD5FA3">
        <w:rPr>
          <w:rFonts w:cstheme="minorHAnsi"/>
          <w:sz w:val="24"/>
          <w:szCs w:val="24"/>
          <w:lang w:val="bg-BG"/>
        </w:rPr>
        <w:t>в вид здравна услуга.</w:t>
      </w:r>
    </w:p>
    <w:p w14:paraId="0C6EA481" w14:textId="77777777" w:rsidR="00230320" w:rsidRPr="00BD5FA3" w:rsidRDefault="006A6D0D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В момента в НРД за медицински дейности 2023-2025 г. са заложени цени за 1 л</w:t>
      </w:r>
      <w:r w:rsidR="009C0D61" w:rsidRPr="00BD5FA3">
        <w:rPr>
          <w:rFonts w:cstheme="minorHAnsi"/>
          <w:sz w:val="24"/>
          <w:szCs w:val="24"/>
          <w:lang w:val="bg-BG"/>
        </w:rPr>
        <w:t>еглоден, които са съизмерими със средните</w:t>
      </w:r>
      <w:r w:rsidRPr="00BD5FA3">
        <w:rPr>
          <w:rFonts w:cstheme="minorHAnsi"/>
          <w:sz w:val="24"/>
          <w:szCs w:val="24"/>
          <w:lang w:val="bg-BG"/>
        </w:rPr>
        <w:t xml:space="preserve"> разход</w:t>
      </w:r>
      <w:r w:rsidR="009C0D61" w:rsidRPr="00BD5FA3">
        <w:rPr>
          <w:rFonts w:cstheme="minorHAnsi"/>
          <w:sz w:val="24"/>
          <w:szCs w:val="24"/>
          <w:lang w:val="bg-BG"/>
        </w:rPr>
        <w:t>и</w:t>
      </w:r>
      <w:r w:rsidR="00230320" w:rsidRPr="00BD5FA3">
        <w:rPr>
          <w:rFonts w:cstheme="minorHAnsi"/>
          <w:sz w:val="24"/>
          <w:szCs w:val="24"/>
          <w:lang w:val="bg-BG"/>
        </w:rPr>
        <w:t xml:space="preserve"> за леглоден </w:t>
      </w:r>
      <w:r w:rsidR="009C0D61" w:rsidRPr="00BD5FA3">
        <w:rPr>
          <w:rFonts w:cstheme="minorHAnsi"/>
          <w:sz w:val="24"/>
          <w:szCs w:val="24"/>
          <w:lang w:val="bg-BG"/>
        </w:rPr>
        <w:t xml:space="preserve">в общинските болници за продължително лечение. </w:t>
      </w:r>
    </w:p>
    <w:p w14:paraId="0BA99FDD" w14:textId="77777777" w:rsidR="006A6D0D" w:rsidRPr="00BD5FA3" w:rsidRDefault="009C0D61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Заложените обеми в брой леглодни са както следва: </w:t>
      </w:r>
    </w:p>
    <w:p w14:paraId="0566A134" w14:textId="77777777" w:rsidR="009C0D61" w:rsidRPr="00BD5FA3" w:rsidRDefault="009C0D61" w:rsidP="00800C12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 xml:space="preserve">По </w:t>
      </w:r>
      <w:r w:rsidR="006A6D0D" w:rsidRPr="00BD5FA3">
        <w:rPr>
          <w:rFonts w:cstheme="minorHAnsi"/>
          <w:sz w:val="24"/>
          <w:szCs w:val="24"/>
          <w:lang w:val="bg-BG"/>
        </w:rPr>
        <w:t xml:space="preserve">КП № 253 „Палиативни грижи за болни с онкологични заболявания“ </w:t>
      </w:r>
      <w:r w:rsidRPr="00BD5FA3">
        <w:rPr>
          <w:rFonts w:cstheme="minorHAnsi"/>
          <w:sz w:val="24"/>
          <w:szCs w:val="24"/>
          <w:lang w:val="bg-BG"/>
        </w:rPr>
        <w:t>са предвидени за финансиране 5972 леглодни, което при максимален престой от 25 дни за периода на терминалното състояние гарантира грижа само на 239 онкологично болни в терминален стади</w:t>
      </w:r>
      <w:r w:rsidR="005371B5" w:rsidRPr="00BD5FA3">
        <w:rPr>
          <w:rFonts w:cstheme="minorHAnsi"/>
          <w:sz w:val="24"/>
          <w:szCs w:val="24"/>
          <w:lang w:val="bg-BG"/>
        </w:rPr>
        <w:t>й</w:t>
      </w:r>
      <w:r w:rsidRPr="00BD5FA3">
        <w:rPr>
          <w:rFonts w:cstheme="minorHAnsi"/>
          <w:sz w:val="24"/>
          <w:szCs w:val="24"/>
          <w:lang w:val="bg-BG"/>
        </w:rPr>
        <w:t>.</w:t>
      </w:r>
    </w:p>
    <w:p w14:paraId="4D42F90B" w14:textId="77777777" w:rsidR="005371B5" w:rsidRPr="00BD5FA3" w:rsidRDefault="00F61DC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lastRenderedPageBreak/>
        <w:t xml:space="preserve">По данни на НСИ </w:t>
      </w:r>
      <w:r w:rsidR="005371B5" w:rsidRPr="00BD5FA3">
        <w:rPr>
          <w:rFonts w:cstheme="minorHAnsi"/>
          <w:sz w:val="24"/>
          <w:szCs w:val="24"/>
          <w:lang w:val="bg-BG"/>
        </w:rPr>
        <w:t>жегодно в България умират между 15 000 и 16 000 болни от злокачествени новообразувания, които преминават през терминален стадий преди настъпване на смъртния изход, без гарантирана грижа и с много болка и страдания за тях и техните близки.</w:t>
      </w:r>
    </w:p>
    <w:p w14:paraId="1D58FAD5" w14:textId="77777777" w:rsidR="005371B5" w:rsidRPr="00BD5FA3" w:rsidRDefault="005371B5" w:rsidP="00800C12">
      <w:pPr>
        <w:spacing w:after="0"/>
        <w:ind w:firstLine="720"/>
        <w:jc w:val="both"/>
        <w:rPr>
          <w:rFonts w:cstheme="minorHAnsi"/>
          <w:sz w:val="24"/>
          <w:szCs w:val="24"/>
          <w:lang w:val="en-US"/>
        </w:rPr>
      </w:pPr>
      <w:r w:rsidRPr="00BD5FA3">
        <w:rPr>
          <w:rFonts w:cstheme="minorHAnsi"/>
          <w:sz w:val="24"/>
          <w:szCs w:val="24"/>
          <w:lang w:val="bg-BG"/>
        </w:rPr>
        <w:t>Според експерти от Българското онкологично науч</w:t>
      </w:r>
      <w:r w:rsidR="00DF5F8F" w:rsidRPr="00BD5FA3">
        <w:rPr>
          <w:rFonts w:cstheme="minorHAnsi"/>
          <w:sz w:val="24"/>
          <w:szCs w:val="24"/>
          <w:lang w:val="bg-BG"/>
        </w:rPr>
        <w:t>но дружество (БОНД) ежегодно около</w:t>
      </w:r>
      <w:r w:rsidRPr="00BD5FA3">
        <w:rPr>
          <w:rFonts w:cstheme="minorHAnsi"/>
          <w:sz w:val="24"/>
          <w:szCs w:val="24"/>
          <w:lang w:val="bg-BG"/>
        </w:rPr>
        <w:t xml:space="preserve"> 20 000 болни с онкологични заболявания се нуждаят от продължително лечение и/или палиативни грижи, като минималната продължителност на палиативните грижи е 2 месеца (60 дни). </w:t>
      </w:r>
    </w:p>
    <w:p w14:paraId="799B7D11" w14:textId="77777777" w:rsidR="005371B5" w:rsidRPr="00BD5FA3" w:rsidRDefault="005371B5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Предвиденият разход по КП № 253 за тази година е под 100 000 лв. За гарантиране на палиативни г</w:t>
      </w:r>
      <w:r w:rsidR="00190386" w:rsidRPr="00BD5FA3">
        <w:rPr>
          <w:rFonts w:cstheme="minorHAnsi"/>
          <w:sz w:val="24"/>
          <w:szCs w:val="24"/>
          <w:lang w:val="bg-BG"/>
        </w:rPr>
        <w:t>рижи на тези хора при настоящата цена на 1 леглоден по</w:t>
      </w:r>
      <w:r w:rsidRPr="00BD5FA3">
        <w:rPr>
          <w:rFonts w:cstheme="minorHAnsi"/>
          <w:sz w:val="24"/>
          <w:szCs w:val="24"/>
          <w:lang w:val="bg-BG"/>
        </w:rPr>
        <w:t xml:space="preserve"> КП № 253</w:t>
      </w:r>
      <w:r w:rsidR="00190386" w:rsidRPr="00BD5FA3">
        <w:rPr>
          <w:rFonts w:cstheme="minorHAnsi"/>
          <w:sz w:val="24"/>
          <w:szCs w:val="24"/>
          <w:lang w:val="bg-BG"/>
        </w:rPr>
        <w:t xml:space="preserve"> в размер на 162 лв.</w:t>
      </w:r>
      <w:r w:rsidRPr="00BD5FA3">
        <w:rPr>
          <w:rFonts w:cstheme="minorHAnsi"/>
          <w:sz w:val="24"/>
          <w:szCs w:val="24"/>
          <w:lang w:val="bg-BG"/>
        </w:rPr>
        <w:t xml:space="preserve"> са необходими около 150 000 000 лв.</w:t>
      </w:r>
    </w:p>
    <w:p w14:paraId="5D19DE26" w14:textId="77777777" w:rsidR="00201F53" w:rsidRPr="008B23A1" w:rsidRDefault="00201F5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BD5FA3">
        <w:rPr>
          <w:rFonts w:cstheme="minorHAnsi"/>
          <w:sz w:val="24"/>
          <w:szCs w:val="24"/>
          <w:lang w:val="bg-BG"/>
        </w:rPr>
        <w:t>Липсата на осигурена такава грижа ще ком</w:t>
      </w:r>
      <w:r w:rsidRPr="008B23A1">
        <w:rPr>
          <w:rFonts w:cstheme="minorHAnsi"/>
          <w:sz w:val="24"/>
          <w:szCs w:val="24"/>
          <w:lang w:val="bg-BG"/>
        </w:rPr>
        <w:t xml:space="preserve">прометира в значителна степен усилията на държавата за борба с рака, декларирани в Националния план за бурба с рака и Политика 3.2. на Националната здравна стратегия, както и инвестиции по ПВУ </w:t>
      </w:r>
      <w:r w:rsidR="008C35E2" w:rsidRPr="008B23A1">
        <w:rPr>
          <w:rFonts w:cstheme="minorHAnsi"/>
          <w:sz w:val="24"/>
          <w:szCs w:val="24"/>
          <w:lang w:val="bg-BG"/>
        </w:rPr>
        <w:t xml:space="preserve">за модернизиране на системата за диагностика и лечение </w:t>
      </w:r>
      <w:r w:rsidRPr="008B23A1">
        <w:rPr>
          <w:rFonts w:cstheme="minorHAnsi"/>
          <w:sz w:val="24"/>
          <w:szCs w:val="24"/>
          <w:lang w:val="bg-BG"/>
        </w:rPr>
        <w:t>на</w:t>
      </w:r>
      <w:r w:rsidR="00230320" w:rsidRPr="008B23A1">
        <w:rPr>
          <w:rFonts w:cstheme="minorHAnsi"/>
          <w:sz w:val="24"/>
          <w:szCs w:val="24"/>
          <w:lang w:val="bg-BG"/>
        </w:rPr>
        <w:t xml:space="preserve"> онкологичните заболявания.</w:t>
      </w:r>
    </w:p>
    <w:p w14:paraId="446C4413" w14:textId="77777777" w:rsidR="00F61DC3" w:rsidRPr="008B23A1" w:rsidRDefault="00F61DC3" w:rsidP="00800C12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По </w:t>
      </w:r>
      <w:r w:rsidR="006A6D0D" w:rsidRPr="008B23A1">
        <w:rPr>
          <w:rFonts w:cstheme="minorHAnsi"/>
          <w:sz w:val="24"/>
          <w:szCs w:val="24"/>
          <w:lang w:val="bg-BG"/>
        </w:rPr>
        <w:t>КП №  254 Продължително лечение и ранна рехабилитация след острия стадий на исхемичен и хеморагичен мозъчен инсулт с остатъчни проблеми за здравето,</w:t>
      </w:r>
      <w:r w:rsidR="006A6D0D" w:rsidRPr="008B23A1">
        <w:rPr>
          <w:rFonts w:cstheme="minorHAnsi"/>
          <w:sz w:val="24"/>
          <w:szCs w:val="24"/>
        </w:rPr>
        <w:t xml:space="preserve"> </w:t>
      </w:r>
      <w:r w:rsidRPr="008B23A1">
        <w:rPr>
          <w:rFonts w:cstheme="minorHAnsi"/>
          <w:sz w:val="24"/>
          <w:szCs w:val="24"/>
          <w:lang w:val="bg-BG"/>
        </w:rPr>
        <w:t>са предвидени за финансиране 6344 леглодни, което при максимален престой от 20 дни гарантира грижа само на 317 пациенти</w:t>
      </w:r>
      <w:r w:rsidR="008C35E2" w:rsidRPr="008B23A1">
        <w:rPr>
          <w:rFonts w:cstheme="minorHAnsi"/>
          <w:sz w:val="24"/>
          <w:szCs w:val="24"/>
          <w:lang w:val="bg-BG"/>
        </w:rPr>
        <w:t>, преживели</w:t>
      </w:r>
      <w:r w:rsidRPr="008B23A1">
        <w:rPr>
          <w:rFonts w:cstheme="minorHAnsi"/>
          <w:sz w:val="24"/>
          <w:szCs w:val="24"/>
          <w:lang w:val="bg-BG"/>
        </w:rPr>
        <w:t xml:space="preserve"> тежък инвалидизиращ инсулт.</w:t>
      </w:r>
    </w:p>
    <w:p w14:paraId="087C78CE" w14:textId="77777777" w:rsidR="00F61DC3" w:rsidRPr="008B23A1" w:rsidRDefault="00F61DC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По данни на НЦЗА ежегодно в България</w:t>
      </w:r>
      <w:r w:rsidR="00EF361C" w:rsidRPr="008B23A1">
        <w:rPr>
          <w:rFonts w:cstheme="minorHAnsi"/>
          <w:sz w:val="24"/>
          <w:szCs w:val="24"/>
          <w:lang w:val="bg-BG"/>
        </w:rPr>
        <w:t xml:space="preserve"> 45 000 човека прекарват инсулт, като над 90% от тях са на възраст над 65 години.</w:t>
      </w:r>
    </w:p>
    <w:p w14:paraId="2A331988" w14:textId="77777777" w:rsidR="00400C9E" w:rsidRPr="008B23A1" w:rsidRDefault="00F61DC3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По данни на Българското дружество по инсулт и международни статистики</w:t>
      </w:r>
      <w:r w:rsidR="00DF5F8F" w:rsidRPr="008B23A1">
        <w:rPr>
          <w:rFonts w:cstheme="minorHAnsi"/>
          <w:sz w:val="24"/>
          <w:szCs w:val="24"/>
          <w:lang w:val="bg-BG"/>
        </w:rPr>
        <w:t xml:space="preserve"> около </w:t>
      </w:r>
      <w:r w:rsidR="00ED4C8F" w:rsidRPr="008B23A1">
        <w:rPr>
          <w:rFonts w:cstheme="minorHAnsi"/>
          <w:sz w:val="24"/>
          <w:szCs w:val="24"/>
          <w:lang w:val="bg-BG"/>
        </w:rPr>
        <w:t>12</w:t>
      </w:r>
      <w:r w:rsidR="00400C9E" w:rsidRPr="008B23A1">
        <w:rPr>
          <w:rFonts w:cstheme="minorHAnsi"/>
          <w:sz w:val="24"/>
          <w:szCs w:val="24"/>
          <w:lang w:val="bg-BG"/>
        </w:rPr>
        <w:t xml:space="preserve"> % от тези болни умират в рамките на болничния престой.</w:t>
      </w:r>
      <w:r w:rsidR="00ED4C8F" w:rsidRPr="008B23A1">
        <w:rPr>
          <w:rFonts w:cstheme="minorHAnsi"/>
          <w:sz w:val="24"/>
          <w:szCs w:val="24"/>
          <w:lang w:val="bg-BG"/>
        </w:rPr>
        <w:t xml:space="preserve"> Над 30 % от преживелите инсулт се нуждаят от продължаващо лечение и ранна рехабилитация</w:t>
      </w:r>
      <w:r w:rsidR="00400C9E" w:rsidRPr="008B23A1">
        <w:rPr>
          <w:rFonts w:cstheme="minorHAnsi"/>
          <w:sz w:val="24"/>
          <w:szCs w:val="24"/>
          <w:lang w:val="bg-BG"/>
        </w:rPr>
        <w:t xml:space="preserve"> </w:t>
      </w:r>
      <w:r w:rsidR="00ED4C8F" w:rsidRPr="008B23A1">
        <w:rPr>
          <w:rFonts w:cstheme="minorHAnsi"/>
          <w:sz w:val="24"/>
          <w:szCs w:val="24"/>
          <w:lang w:val="bg-BG"/>
        </w:rPr>
        <w:t xml:space="preserve">след проведеното активно лечение. </w:t>
      </w:r>
      <w:r w:rsidR="00400C9E" w:rsidRPr="008B23A1">
        <w:rPr>
          <w:rFonts w:cstheme="minorHAnsi"/>
          <w:sz w:val="24"/>
          <w:szCs w:val="24"/>
          <w:lang w:val="bg-BG"/>
        </w:rPr>
        <w:t>От прекаралите о</w:t>
      </w:r>
      <w:r w:rsidR="00ED4C8F" w:rsidRPr="008B23A1">
        <w:rPr>
          <w:rFonts w:cstheme="minorHAnsi"/>
          <w:sz w:val="24"/>
          <w:szCs w:val="24"/>
          <w:lang w:val="bg-BG"/>
        </w:rPr>
        <w:t>страта фаза на инсулта около 20 %</w:t>
      </w:r>
      <w:r w:rsidR="00400C9E" w:rsidRPr="008B23A1">
        <w:rPr>
          <w:rFonts w:cstheme="minorHAnsi"/>
          <w:sz w:val="24"/>
          <w:szCs w:val="24"/>
          <w:lang w:val="bg-BG"/>
        </w:rPr>
        <w:t xml:space="preserve"> умира</w:t>
      </w:r>
      <w:r w:rsidR="00ED4C8F" w:rsidRPr="008B23A1">
        <w:rPr>
          <w:rFonts w:cstheme="minorHAnsi"/>
          <w:sz w:val="24"/>
          <w:szCs w:val="24"/>
          <w:lang w:val="bg-BG"/>
        </w:rPr>
        <w:t>т до края на първата година, 40 %</w:t>
      </w:r>
      <w:r w:rsidR="00400C9E" w:rsidRPr="008B23A1">
        <w:rPr>
          <w:rFonts w:cstheme="minorHAnsi"/>
          <w:sz w:val="24"/>
          <w:szCs w:val="24"/>
          <w:lang w:val="bg-BG"/>
        </w:rPr>
        <w:t xml:space="preserve"> остават инвалидизирани </w:t>
      </w:r>
      <w:r w:rsidR="00ED4C8F" w:rsidRPr="008B23A1">
        <w:rPr>
          <w:rFonts w:cstheme="minorHAnsi"/>
          <w:sz w:val="24"/>
          <w:szCs w:val="24"/>
          <w:lang w:val="bg-BG"/>
        </w:rPr>
        <w:t>с нужда от постоянни грижи и 40 %</w:t>
      </w:r>
      <w:r w:rsidR="00400C9E" w:rsidRPr="008B23A1">
        <w:rPr>
          <w:rFonts w:cstheme="minorHAnsi"/>
          <w:sz w:val="24"/>
          <w:szCs w:val="24"/>
          <w:lang w:val="bg-BG"/>
        </w:rPr>
        <w:t xml:space="preserve"> постигат пълно или частично възстановяване с възможност за самостоятелно обслужване. Осигуряването на продължително лечение и ранна рехабилитация след острата фаза на инсулта, намалява значително броя на загиналите и тежко инвалидизирани пациента.</w:t>
      </w:r>
    </w:p>
    <w:p w14:paraId="05672DB5" w14:textId="77777777" w:rsidR="008C35E2" w:rsidRPr="008B23A1" w:rsidRDefault="008C35E2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Предвиденият разход по КП № 254 за тази година е 546 000 лв. </w:t>
      </w:r>
    </w:p>
    <w:p w14:paraId="62512E2D" w14:textId="77777777" w:rsidR="00400C9E" w:rsidRPr="008B23A1" w:rsidRDefault="00400C9E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За гарантиране на пр</w:t>
      </w:r>
      <w:r w:rsidR="00190386" w:rsidRPr="008B23A1">
        <w:rPr>
          <w:rFonts w:cstheme="minorHAnsi"/>
          <w:sz w:val="24"/>
          <w:szCs w:val="24"/>
          <w:lang w:val="bg-BG"/>
        </w:rPr>
        <w:t>одължително лечение на поне 12 000 болни с прекаран остър инсулт при настоящата цена на 1 леглоден по КП № 254 в размер на 86 лв. са необходими около 2</w:t>
      </w:r>
      <w:r w:rsidRPr="008B23A1">
        <w:rPr>
          <w:rFonts w:cstheme="minorHAnsi"/>
          <w:sz w:val="24"/>
          <w:szCs w:val="24"/>
          <w:lang w:val="bg-BG"/>
        </w:rPr>
        <w:t>0 000 000 лв.</w:t>
      </w:r>
    </w:p>
    <w:p w14:paraId="5F6561BE" w14:textId="77777777" w:rsidR="00F61DC3" w:rsidRPr="008B23A1" w:rsidRDefault="00190386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Липсата на осигурена такава грижа ще компрометира в значителна степен усилията на държавата за развитие на мрежа от центрове за лечение на инсулт и други мозъчно съдови заболявания (строук-центрове), з</w:t>
      </w:r>
      <w:r w:rsidR="00230320" w:rsidRPr="008B23A1">
        <w:rPr>
          <w:rFonts w:cstheme="minorHAnsi"/>
          <w:sz w:val="24"/>
          <w:szCs w:val="24"/>
          <w:lang w:val="bg-BG"/>
        </w:rPr>
        <w:t>а които е осигурена инвестиция по Плана за възстановяване и устойчивост, какро</w:t>
      </w:r>
      <w:r w:rsidRPr="008B23A1">
        <w:rPr>
          <w:rFonts w:cstheme="minorHAnsi"/>
          <w:sz w:val="24"/>
          <w:szCs w:val="24"/>
          <w:lang w:val="bg-BG"/>
        </w:rPr>
        <w:t>. и цялостната политика за подобряване на възможностите за лечение на мозъчносъдовите болести, обявена като стратегически приоритет в Националната здравна стратегия 2030.</w:t>
      </w:r>
    </w:p>
    <w:p w14:paraId="4F63975B" w14:textId="77777777" w:rsidR="008C35E2" w:rsidRPr="008B23A1" w:rsidRDefault="008C35E2" w:rsidP="00800C12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По КП №  255 Продължително лечение и ранна рехабилитация след инфаркт на миокарда и след сърдечни интервенции,</w:t>
      </w:r>
      <w:r w:rsidRPr="008B23A1">
        <w:rPr>
          <w:rFonts w:cstheme="minorHAnsi"/>
          <w:sz w:val="24"/>
          <w:szCs w:val="24"/>
        </w:rPr>
        <w:t xml:space="preserve"> </w:t>
      </w:r>
      <w:r w:rsidRPr="008B23A1">
        <w:rPr>
          <w:rFonts w:cstheme="minorHAnsi"/>
          <w:sz w:val="24"/>
          <w:szCs w:val="24"/>
          <w:lang w:val="bg-BG"/>
        </w:rPr>
        <w:t xml:space="preserve">са предвидени за финансиране 533 леглодни, което при максимален престой от 20 дни гарантира грижа само </w:t>
      </w:r>
      <w:r w:rsidRPr="008B23A1">
        <w:rPr>
          <w:rFonts w:cstheme="minorHAnsi"/>
          <w:sz w:val="24"/>
          <w:szCs w:val="24"/>
          <w:lang w:val="bg-BG"/>
        </w:rPr>
        <w:lastRenderedPageBreak/>
        <w:t>на 27 пациенти, сле</w:t>
      </w:r>
      <w:r w:rsidR="00850FBA" w:rsidRPr="008B23A1">
        <w:rPr>
          <w:rFonts w:cstheme="minorHAnsi"/>
          <w:sz w:val="24"/>
          <w:szCs w:val="24"/>
          <w:lang w:val="bg-BG"/>
        </w:rPr>
        <w:t>д прекаран остър инфаркт или теж</w:t>
      </w:r>
      <w:r w:rsidRPr="008B23A1">
        <w:rPr>
          <w:rFonts w:cstheme="minorHAnsi"/>
          <w:sz w:val="24"/>
          <w:szCs w:val="24"/>
          <w:lang w:val="bg-BG"/>
        </w:rPr>
        <w:t>ки кардиохирургични интервенции.</w:t>
      </w:r>
    </w:p>
    <w:p w14:paraId="3AB25606" w14:textId="77777777" w:rsidR="00DB1CD9" w:rsidRPr="008B23A1" w:rsidRDefault="00EF361C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По данни на НЦОЗА ежегодно се хоспитализират около 10 000 пациенти с инфаркт на м</w:t>
      </w:r>
      <w:r w:rsidR="00850FBA" w:rsidRPr="008B23A1">
        <w:rPr>
          <w:rFonts w:cstheme="minorHAnsi"/>
          <w:sz w:val="24"/>
          <w:szCs w:val="24"/>
          <w:lang w:val="bg-BG"/>
        </w:rPr>
        <w:t>иокарда,</w:t>
      </w:r>
      <w:r w:rsidRPr="008B23A1">
        <w:rPr>
          <w:rFonts w:cstheme="minorHAnsi"/>
          <w:sz w:val="24"/>
          <w:szCs w:val="24"/>
          <w:lang w:val="bg-BG"/>
        </w:rPr>
        <w:t xml:space="preserve"> които </w:t>
      </w:r>
      <w:r w:rsidR="00850FBA" w:rsidRPr="008B23A1">
        <w:rPr>
          <w:rFonts w:cstheme="minorHAnsi"/>
          <w:sz w:val="24"/>
          <w:szCs w:val="24"/>
          <w:lang w:val="bg-BG"/>
        </w:rPr>
        <w:t xml:space="preserve">около 70 % </w:t>
      </w:r>
      <w:r w:rsidRPr="008B23A1">
        <w:rPr>
          <w:rFonts w:cstheme="minorHAnsi"/>
          <w:sz w:val="24"/>
          <w:szCs w:val="24"/>
          <w:lang w:val="bg-BG"/>
        </w:rPr>
        <w:t>са на възраст над 65 г.</w:t>
      </w:r>
      <w:r w:rsidR="00DB1CD9" w:rsidRPr="008B23A1">
        <w:rPr>
          <w:rFonts w:cstheme="minorHAnsi"/>
          <w:sz w:val="24"/>
          <w:szCs w:val="24"/>
          <w:lang w:val="bg-BG"/>
        </w:rPr>
        <w:t xml:space="preserve"> Въпреки прилаганите съвременни методи на инвазивната кардиология, които значително намалиха смъртността и инвалидизацията след миокарден инфаркт, </w:t>
      </w:r>
      <w:r w:rsidR="00850FBA" w:rsidRPr="008B23A1">
        <w:rPr>
          <w:rFonts w:cstheme="minorHAnsi"/>
          <w:sz w:val="24"/>
          <w:szCs w:val="24"/>
          <w:lang w:val="bg-BG"/>
        </w:rPr>
        <w:t xml:space="preserve">по експертни оценки </w:t>
      </w:r>
      <w:r w:rsidR="00DB1CD9" w:rsidRPr="008B23A1">
        <w:rPr>
          <w:rFonts w:cstheme="minorHAnsi"/>
          <w:sz w:val="24"/>
          <w:szCs w:val="24"/>
          <w:lang w:val="bg-BG"/>
        </w:rPr>
        <w:t xml:space="preserve">около </w:t>
      </w:r>
      <w:r w:rsidR="00CB28B7" w:rsidRPr="008B23A1">
        <w:rPr>
          <w:rFonts w:cstheme="minorHAnsi"/>
          <w:sz w:val="24"/>
          <w:szCs w:val="24"/>
          <w:lang w:val="bg-BG"/>
        </w:rPr>
        <w:t>5</w:t>
      </w:r>
      <w:r w:rsidR="00DB1CD9" w:rsidRPr="008B23A1">
        <w:rPr>
          <w:rFonts w:cstheme="minorHAnsi"/>
          <w:sz w:val="24"/>
          <w:szCs w:val="24"/>
          <w:lang w:val="bg-BG"/>
        </w:rPr>
        <w:t>0 % от възрастни</w:t>
      </w:r>
      <w:r w:rsidR="00850FBA" w:rsidRPr="008B23A1">
        <w:rPr>
          <w:rFonts w:cstheme="minorHAnsi"/>
          <w:sz w:val="24"/>
          <w:szCs w:val="24"/>
          <w:lang w:val="bg-BG"/>
        </w:rPr>
        <w:t>те</w:t>
      </w:r>
      <w:r w:rsidR="00DB1CD9" w:rsidRPr="008B23A1">
        <w:rPr>
          <w:rFonts w:cstheme="minorHAnsi"/>
          <w:sz w:val="24"/>
          <w:szCs w:val="24"/>
          <w:lang w:val="bg-BG"/>
        </w:rPr>
        <w:t xml:space="preserve"> </w:t>
      </w:r>
      <w:r w:rsidR="00850FBA" w:rsidRPr="008B23A1">
        <w:rPr>
          <w:rFonts w:cstheme="minorHAnsi"/>
          <w:sz w:val="24"/>
          <w:szCs w:val="24"/>
          <w:lang w:val="bg-BG"/>
        </w:rPr>
        <w:t>пациенти</w:t>
      </w:r>
      <w:r w:rsidR="00DB1CD9" w:rsidRPr="008B23A1">
        <w:rPr>
          <w:rFonts w:cstheme="minorHAnsi"/>
          <w:sz w:val="24"/>
          <w:szCs w:val="24"/>
          <w:lang w:val="bg-BG"/>
        </w:rPr>
        <w:t xml:space="preserve"> имат нужда от продължително лечение и възстановяване. </w:t>
      </w:r>
    </w:p>
    <w:p w14:paraId="669B0775" w14:textId="77777777" w:rsidR="008C35E2" w:rsidRPr="008B23A1" w:rsidRDefault="00DB1CD9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Ежегодно в България се извършват над </w:t>
      </w:r>
      <w:r w:rsidR="00CD2953" w:rsidRPr="008B23A1">
        <w:rPr>
          <w:rFonts w:cstheme="minorHAnsi"/>
          <w:sz w:val="24"/>
          <w:szCs w:val="24"/>
          <w:lang w:val="bg-BG"/>
        </w:rPr>
        <w:t>3</w:t>
      </w:r>
      <w:r w:rsidRPr="008B23A1">
        <w:rPr>
          <w:rFonts w:cstheme="minorHAnsi"/>
          <w:sz w:val="24"/>
          <w:szCs w:val="24"/>
          <w:lang w:val="bg-BG"/>
        </w:rPr>
        <w:t xml:space="preserve"> 000 </w:t>
      </w:r>
      <w:r w:rsidR="00CD2953" w:rsidRPr="008B23A1">
        <w:rPr>
          <w:rFonts w:cstheme="minorHAnsi"/>
          <w:sz w:val="24"/>
          <w:szCs w:val="24"/>
          <w:lang w:val="bg-BG"/>
        </w:rPr>
        <w:t xml:space="preserve">големи и много големи </w:t>
      </w:r>
      <w:r w:rsidRPr="008B23A1">
        <w:rPr>
          <w:rFonts w:cstheme="minorHAnsi"/>
          <w:sz w:val="24"/>
          <w:szCs w:val="24"/>
          <w:lang w:val="bg-BG"/>
        </w:rPr>
        <w:t>кардиохирургични интервенция на пациенти, от които по</w:t>
      </w:r>
      <w:r w:rsidR="00850FBA" w:rsidRPr="008B23A1">
        <w:rPr>
          <w:rFonts w:cstheme="minorHAnsi"/>
          <w:sz w:val="24"/>
          <w:szCs w:val="24"/>
          <w:lang w:val="bg-BG"/>
        </w:rPr>
        <w:t xml:space="preserve">чти </w:t>
      </w:r>
      <w:r w:rsidR="00CB28B7" w:rsidRPr="008B23A1">
        <w:rPr>
          <w:rFonts w:cstheme="minorHAnsi"/>
          <w:sz w:val="24"/>
          <w:szCs w:val="24"/>
          <w:lang w:val="bg-BG"/>
        </w:rPr>
        <w:t>1</w:t>
      </w:r>
      <w:r w:rsidR="00850FBA" w:rsidRPr="008B23A1">
        <w:rPr>
          <w:rFonts w:cstheme="minorHAnsi"/>
          <w:sz w:val="24"/>
          <w:szCs w:val="24"/>
          <w:lang w:val="bg-BG"/>
        </w:rPr>
        <w:t>0 % имат нужда от продължително лечение и рехабилитация.</w:t>
      </w:r>
    </w:p>
    <w:p w14:paraId="647A0731" w14:textId="77777777" w:rsidR="00850FBA" w:rsidRPr="008B23A1" w:rsidRDefault="00850FBA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Предвиденият разход по КП № 255 за тази година е 45 000 лв.</w:t>
      </w:r>
    </w:p>
    <w:p w14:paraId="3872CE06" w14:textId="77777777" w:rsidR="00850FBA" w:rsidRPr="008B23A1" w:rsidRDefault="00850FBA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За гарантиране на пр</w:t>
      </w:r>
      <w:r w:rsidR="00CB28B7" w:rsidRPr="008B23A1">
        <w:rPr>
          <w:rFonts w:cstheme="minorHAnsi"/>
          <w:sz w:val="24"/>
          <w:szCs w:val="24"/>
          <w:lang w:val="bg-BG"/>
        </w:rPr>
        <w:t>одължително лечение на поне 35</w:t>
      </w:r>
      <w:r w:rsidRPr="008B23A1">
        <w:rPr>
          <w:rFonts w:cstheme="minorHAnsi"/>
          <w:sz w:val="24"/>
          <w:szCs w:val="24"/>
          <w:lang w:val="bg-BG"/>
        </w:rPr>
        <w:t xml:space="preserve">00 болни с прекаран остър инфаркт и тежки кардиохирургични интервенции при настоящата цена на 1 леглоден по </w:t>
      </w:r>
      <w:r w:rsidR="00CB28B7" w:rsidRPr="008B23A1">
        <w:rPr>
          <w:rFonts w:cstheme="minorHAnsi"/>
          <w:sz w:val="24"/>
          <w:szCs w:val="24"/>
          <w:lang w:val="bg-BG"/>
        </w:rPr>
        <w:t>КП № 255</w:t>
      </w:r>
      <w:r w:rsidRPr="008B23A1">
        <w:rPr>
          <w:rFonts w:cstheme="minorHAnsi"/>
          <w:sz w:val="24"/>
          <w:szCs w:val="24"/>
          <w:lang w:val="bg-BG"/>
        </w:rPr>
        <w:t xml:space="preserve"> в размер на 85 лв. са необ</w:t>
      </w:r>
      <w:r w:rsidR="00CB28B7" w:rsidRPr="008B23A1">
        <w:rPr>
          <w:rFonts w:cstheme="minorHAnsi"/>
          <w:sz w:val="24"/>
          <w:szCs w:val="24"/>
          <w:lang w:val="bg-BG"/>
        </w:rPr>
        <w:t>ходими около 5</w:t>
      </w:r>
      <w:r w:rsidRPr="008B23A1">
        <w:rPr>
          <w:rFonts w:cstheme="minorHAnsi"/>
          <w:sz w:val="24"/>
          <w:szCs w:val="24"/>
          <w:lang w:val="bg-BG"/>
        </w:rPr>
        <w:t xml:space="preserve"> 000 000 лв.</w:t>
      </w:r>
    </w:p>
    <w:p w14:paraId="27569340" w14:textId="77777777" w:rsidR="00850FBA" w:rsidRPr="008B23A1" w:rsidRDefault="00850FBA" w:rsidP="00800C12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По КП №  256 Продължително лечение и ранна рехабилитация след оперативни интервенции с голям и много голям обем и сложност с остатъчни проблеми за здравето,</w:t>
      </w:r>
      <w:r w:rsidRPr="008B23A1">
        <w:rPr>
          <w:rFonts w:cstheme="minorHAnsi"/>
          <w:sz w:val="24"/>
          <w:szCs w:val="24"/>
        </w:rPr>
        <w:t xml:space="preserve"> </w:t>
      </w:r>
      <w:r w:rsidRPr="008B23A1">
        <w:rPr>
          <w:rFonts w:cstheme="minorHAnsi"/>
          <w:sz w:val="24"/>
          <w:szCs w:val="24"/>
          <w:lang w:val="bg-BG"/>
        </w:rPr>
        <w:t xml:space="preserve">са предвидени за финансиране </w:t>
      </w:r>
      <w:r w:rsidR="00A9074F" w:rsidRPr="008B23A1">
        <w:rPr>
          <w:rFonts w:cstheme="minorHAnsi"/>
          <w:sz w:val="24"/>
          <w:szCs w:val="24"/>
          <w:lang w:val="bg-BG"/>
        </w:rPr>
        <w:t>13 285</w:t>
      </w:r>
      <w:r w:rsidRPr="008B23A1">
        <w:rPr>
          <w:rFonts w:cstheme="minorHAnsi"/>
          <w:sz w:val="24"/>
          <w:szCs w:val="24"/>
          <w:lang w:val="bg-BG"/>
        </w:rPr>
        <w:t xml:space="preserve"> леглодни, което при максимален престой от</w:t>
      </w:r>
      <w:r w:rsidR="00A9074F" w:rsidRPr="008B23A1">
        <w:rPr>
          <w:rFonts w:cstheme="minorHAnsi"/>
          <w:sz w:val="24"/>
          <w:szCs w:val="24"/>
          <w:lang w:val="bg-BG"/>
        </w:rPr>
        <w:t xml:space="preserve"> 20 дни гарантира грижа на 665</w:t>
      </w:r>
      <w:r w:rsidR="009D658A" w:rsidRPr="008B23A1">
        <w:rPr>
          <w:rFonts w:cstheme="minorHAnsi"/>
          <w:sz w:val="24"/>
          <w:szCs w:val="24"/>
          <w:lang w:val="bg-BG"/>
        </w:rPr>
        <w:t xml:space="preserve"> пациенти</w:t>
      </w:r>
      <w:r w:rsidR="00A9074F" w:rsidRPr="008B23A1">
        <w:rPr>
          <w:rFonts w:cstheme="minorHAnsi"/>
          <w:sz w:val="24"/>
          <w:szCs w:val="24"/>
          <w:lang w:val="bg-BG"/>
        </w:rPr>
        <w:t>.</w:t>
      </w:r>
    </w:p>
    <w:p w14:paraId="3F5BB446" w14:textId="77777777" w:rsidR="00CD2953" w:rsidRPr="008B23A1" w:rsidRDefault="00B46057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Само големите и много големи неврохирургични интервенции</w:t>
      </w:r>
      <w:r w:rsidR="0007234B" w:rsidRPr="008B23A1">
        <w:rPr>
          <w:rFonts w:cstheme="minorHAnsi"/>
          <w:sz w:val="24"/>
          <w:szCs w:val="24"/>
          <w:lang w:val="bg-BG"/>
        </w:rPr>
        <w:t>, извършени</w:t>
      </w:r>
      <w:r w:rsidRPr="008B23A1">
        <w:rPr>
          <w:rFonts w:cstheme="minorHAnsi"/>
          <w:sz w:val="24"/>
          <w:szCs w:val="24"/>
          <w:lang w:val="bg-BG"/>
        </w:rPr>
        <w:t xml:space="preserve"> </w:t>
      </w:r>
      <w:r w:rsidR="0007234B" w:rsidRPr="008B23A1">
        <w:rPr>
          <w:rFonts w:cstheme="minorHAnsi"/>
          <w:sz w:val="24"/>
          <w:szCs w:val="24"/>
          <w:lang w:val="bg-BG"/>
        </w:rPr>
        <w:t xml:space="preserve">през 2024 г. в България са </w:t>
      </w:r>
      <w:r w:rsidR="00CD2953" w:rsidRPr="008B23A1">
        <w:rPr>
          <w:rFonts w:cstheme="minorHAnsi"/>
          <w:sz w:val="24"/>
          <w:szCs w:val="24"/>
          <w:lang w:val="bg-BG"/>
        </w:rPr>
        <w:t>над 5 000, от които с нужда от продължително лечение</w:t>
      </w:r>
      <w:r w:rsidR="009D658A" w:rsidRPr="008B23A1">
        <w:rPr>
          <w:rFonts w:cstheme="minorHAnsi"/>
          <w:sz w:val="24"/>
          <w:szCs w:val="24"/>
          <w:lang w:val="bg-BG"/>
        </w:rPr>
        <w:t xml:space="preserve"> и ранна рехабилитация</w:t>
      </w:r>
      <w:r w:rsidR="00CD2953" w:rsidRPr="008B23A1">
        <w:rPr>
          <w:rFonts w:cstheme="minorHAnsi"/>
          <w:sz w:val="24"/>
          <w:szCs w:val="24"/>
          <w:lang w:val="bg-BG"/>
        </w:rPr>
        <w:t xml:space="preserve"> са над 30 % от пациентите.</w:t>
      </w:r>
      <w:r w:rsidR="009D658A" w:rsidRPr="008B23A1">
        <w:rPr>
          <w:rFonts w:cstheme="minorHAnsi"/>
          <w:sz w:val="24"/>
          <w:szCs w:val="24"/>
          <w:lang w:val="bg-BG"/>
        </w:rPr>
        <w:t xml:space="preserve"> Големите ортопедични операции са над 15 000.</w:t>
      </w:r>
    </w:p>
    <w:p w14:paraId="3C1FB9D8" w14:textId="77777777" w:rsidR="00CB28B7" w:rsidRPr="008B23A1" w:rsidRDefault="00CB28B7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Предвиденият разход по КП № 256 за тази година е 1 130 000 лв.</w:t>
      </w:r>
      <w:r w:rsidR="0007234B" w:rsidRPr="008B23A1">
        <w:rPr>
          <w:rFonts w:cstheme="minorHAnsi"/>
          <w:sz w:val="24"/>
          <w:szCs w:val="24"/>
          <w:lang w:val="bg-BG"/>
        </w:rPr>
        <w:t>, а н</w:t>
      </w:r>
      <w:r w:rsidR="00146CBB" w:rsidRPr="008B23A1">
        <w:rPr>
          <w:rFonts w:cstheme="minorHAnsi"/>
          <w:sz w:val="24"/>
          <w:szCs w:val="24"/>
          <w:lang w:val="bg-BG"/>
        </w:rPr>
        <w:t>еобходимите средства са в размер на 10 000 000 лв.</w:t>
      </w:r>
    </w:p>
    <w:p w14:paraId="28297A32" w14:textId="77777777" w:rsidR="0007234B" w:rsidRPr="008B23A1" w:rsidRDefault="009D658A" w:rsidP="00800C12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8B23A1">
        <w:rPr>
          <w:rFonts w:cstheme="minorHAnsi"/>
          <w:sz w:val="24"/>
          <w:szCs w:val="24"/>
          <w:lang w:val="bg-BG"/>
        </w:rPr>
        <w:t>За сметка на това планираните средства по КП № 265.1 Физикална терапия и рехабилитация при болести на опорно-двигателен апарат, осъществявани в болници за рехабилитации, в т.ч. на морския бряг са планирани 46 114 хоспитализации на обща стойност</w:t>
      </w:r>
      <w:r w:rsidRPr="008B23A1">
        <w:rPr>
          <w:rFonts w:cstheme="minorHAnsi"/>
          <w:sz w:val="24"/>
          <w:szCs w:val="24"/>
        </w:rPr>
        <w:t xml:space="preserve"> </w:t>
      </w:r>
      <w:r w:rsidRPr="008B23A1">
        <w:rPr>
          <w:rFonts w:cstheme="minorHAnsi"/>
          <w:sz w:val="24"/>
          <w:szCs w:val="24"/>
          <w:lang w:val="bg-BG"/>
        </w:rPr>
        <w:t>22 400 000 лв.</w:t>
      </w:r>
      <w:r w:rsidRPr="008B23A1">
        <w:rPr>
          <w:rFonts w:cstheme="minorHAnsi"/>
          <w:sz w:val="24"/>
          <w:szCs w:val="24"/>
        </w:rPr>
        <w:t xml:space="preserve"> </w:t>
      </w:r>
    </w:p>
    <w:p w14:paraId="5A41AB20" w14:textId="77777777" w:rsidR="00850FBA" w:rsidRPr="008B23A1" w:rsidRDefault="009D658A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По данни от Годишния доклад за здравето на нацията, публикуван през м.декември 2024 г. по КП 265.1 „Физикална терапия и рехабилитация при болести на опорно-двигателен апарат“ за 2023 г. НЗОК е заплатила 68 110 000 лв. за 140 000 КП, което представлява увеличение със 17 127 400 лв. или с 33,6%, при увеличение на случаите с 21,2% спрямо предходната година.</w:t>
      </w:r>
    </w:p>
    <w:p w14:paraId="244ED819" w14:textId="77777777" w:rsidR="008937FD" w:rsidRPr="008B23A1" w:rsidRDefault="008937FD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Само със средствата от преразхода по КП 265.1, която често е използвана за реакреация и отдих на млади хора, може да се поеме продължителното лечение на всички възрастни пациенти, преживели инсулт, инфаркт и тежки оперативни интервенции.</w:t>
      </w:r>
    </w:p>
    <w:p w14:paraId="7FC4F904" w14:textId="77777777" w:rsidR="00146CBB" w:rsidRPr="008B23A1" w:rsidRDefault="00146CBB" w:rsidP="00800C12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ab/>
        <w:t xml:space="preserve">Общият размер на необходимите средства за гарантиране на достъпа на пациенти с онкологични заболявания до палиативни грижи и продължително лечение на пациенти след преживят инсулт, инфаркт и големи оперативни интервенции е в размер на 185 млн., което се явява едва 4,5 % от бюджета на НЗОК за болнична помощ в размер на </w:t>
      </w:r>
      <w:r w:rsidRPr="008B23A1">
        <w:rPr>
          <w:rFonts w:eastAsia="Times New Roman" w:cstheme="minorHAnsi"/>
          <w:color w:val="000000"/>
          <w:sz w:val="24"/>
          <w:szCs w:val="24"/>
          <w:lang w:val="en-US"/>
        </w:rPr>
        <w:t>4 087 279</w:t>
      </w:r>
      <w:r w:rsidRPr="008B23A1">
        <w:rPr>
          <w:rFonts w:eastAsia="Times New Roman" w:cstheme="minorHAnsi"/>
          <w:color w:val="000000"/>
          <w:sz w:val="24"/>
          <w:szCs w:val="24"/>
          <w:lang w:val="bg-BG"/>
        </w:rPr>
        <w:t xml:space="preserve"> млд. лв.</w:t>
      </w:r>
    </w:p>
    <w:p w14:paraId="429208A9" w14:textId="77777777" w:rsidR="00146CBB" w:rsidRPr="008B23A1" w:rsidRDefault="00146CBB" w:rsidP="00800C12">
      <w:pPr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eastAsia="Times New Roman" w:cstheme="minorHAnsi"/>
          <w:color w:val="000000"/>
          <w:sz w:val="24"/>
          <w:szCs w:val="24"/>
          <w:lang w:val="bg-BG"/>
        </w:rPr>
        <w:tab/>
      </w:r>
      <w:r w:rsidRPr="008B23A1">
        <w:rPr>
          <w:rFonts w:cstheme="minorHAnsi"/>
          <w:sz w:val="24"/>
          <w:szCs w:val="24"/>
          <w:lang w:val="bg-BG"/>
        </w:rPr>
        <w:t xml:space="preserve">Тези средства могат да бъдат осигурени в рамките на наличния бюджет за болнична помощ, ако се предприемат предложените мерките, в т.ч. спазването на </w:t>
      </w:r>
      <w:r w:rsidRPr="008B23A1">
        <w:rPr>
          <w:rFonts w:cstheme="minorHAnsi"/>
          <w:sz w:val="24"/>
          <w:szCs w:val="24"/>
          <w:lang w:val="bg-BG"/>
        </w:rPr>
        <w:lastRenderedPageBreak/>
        <w:t xml:space="preserve">изисването НЗОК да не договаря по-голям </w:t>
      </w:r>
      <w:r w:rsidR="00DF5F8F" w:rsidRPr="008B23A1">
        <w:rPr>
          <w:rFonts w:cstheme="minorHAnsi"/>
          <w:sz w:val="24"/>
          <w:szCs w:val="24"/>
          <w:lang w:val="bg-BG"/>
        </w:rPr>
        <w:t xml:space="preserve">брой легла от планираните в Националната здравна карта по видове легла и строг контрол по спазването броя на договорените легла и на изискванията по клинични пътеки за активно лечение. </w:t>
      </w:r>
      <w:r w:rsidRPr="008B23A1">
        <w:rPr>
          <w:rFonts w:cstheme="minorHAnsi"/>
          <w:sz w:val="24"/>
          <w:szCs w:val="24"/>
          <w:lang w:val="bg-BG"/>
        </w:rPr>
        <w:t xml:space="preserve"> </w:t>
      </w:r>
    </w:p>
    <w:p w14:paraId="77631F1F" w14:textId="77777777" w:rsidR="00400C9E" w:rsidRPr="008B23A1" w:rsidRDefault="00DF5F8F" w:rsidP="00800C12">
      <w:pPr>
        <w:spacing w:after="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ab/>
        <w:t>Допълнителен източник на финансиране се явява</w:t>
      </w:r>
      <w:r w:rsidR="00ED4C8F" w:rsidRPr="008B23A1">
        <w:rPr>
          <w:rFonts w:cstheme="minorHAnsi"/>
          <w:sz w:val="24"/>
          <w:szCs w:val="24"/>
          <w:lang w:val="bg-BG"/>
        </w:rPr>
        <w:t xml:space="preserve"> механизма за субсидиране на лечебните заведения в отдалечените и труднодостъпни райони по реда на Наредба 3 от 5 април 2019 г. за медицинските дейности извън обхвата на задължителното здравно осигуряване, за които </w:t>
      </w:r>
      <w:r w:rsidR="00ED4C8F" w:rsidRPr="008B23A1">
        <w:rPr>
          <w:rFonts w:cstheme="minorHAnsi"/>
          <w:sz w:val="24"/>
          <w:szCs w:val="24"/>
          <w:lang w:val="en-US"/>
        </w:rPr>
        <w:t>M</w:t>
      </w:r>
      <w:r w:rsidR="00ED4C8F" w:rsidRPr="008B23A1">
        <w:rPr>
          <w:rFonts w:cstheme="minorHAnsi"/>
          <w:sz w:val="24"/>
          <w:szCs w:val="24"/>
          <w:lang w:val="bg-BG"/>
        </w:rPr>
        <w:t>инистерството на здравеопазването субсидира лечебни заведения, и за критериите и реда за субсидиране на лечебни заведения, като средства</w:t>
      </w:r>
      <w:r w:rsidR="009016A9" w:rsidRPr="008B23A1">
        <w:rPr>
          <w:rFonts w:cstheme="minorHAnsi"/>
          <w:sz w:val="24"/>
          <w:szCs w:val="24"/>
          <w:lang w:val="bg-BG"/>
        </w:rPr>
        <w:t>та</w:t>
      </w:r>
      <w:r w:rsidR="00ED4C8F" w:rsidRPr="008B23A1">
        <w:rPr>
          <w:rFonts w:cstheme="minorHAnsi"/>
          <w:sz w:val="24"/>
          <w:szCs w:val="24"/>
          <w:lang w:val="bg-BG"/>
        </w:rPr>
        <w:t xml:space="preserve"> следва да се</w:t>
      </w:r>
      <w:r w:rsidR="009016A9" w:rsidRPr="008B23A1">
        <w:rPr>
          <w:rFonts w:cstheme="minorHAnsi"/>
          <w:sz w:val="24"/>
          <w:szCs w:val="24"/>
          <w:lang w:val="bg-BG"/>
        </w:rPr>
        <w:t xml:space="preserve"> предоставят за приоритетно развитие на дейности по продължително лечение.</w:t>
      </w:r>
    </w:p>
    <w:p w14:paraId="30ADDF66" w14:textId="77777777" w:rsidR="006A6D0D" w:rsidRPr="008B23A1" w:rsidRDefault="009016A9" w:rsidP="00800C12">
      <w:pPr>
        <w:spacing w:after="0"/>
        <w:ind w:firstLine="720"/>
        <w:jc w:val="both"/>
        <w:rPr>
          <w:rFonts w:cstheme="minorHAnsi"/>
          <w:b/>
          <w:sz w:val="24"/>
          <w:szCs w:val="24"/>
          <w:lang w:val="bg-BG"/>
        </w:rPr>
      </w:pPr>
      <w:r w:rsidRPr="008B23A1">
        <w:rPr>
          <w:rFonts w:cstheme="minorHAnsi"/>
          <w:b/>
          <w:sz w:val="24"/>
          <w:szCs w:val="24"/>
          <w:lang w:val="bg-BG"/>
        </w:rPr>
        <w:t>2.</w:t>
      </w:r>
      <w:r w:rsidRPr="008B23A1">
        <w:rPr>
          <w:rFonts w:cstheme="minorHAnsi"/>
          <w:b/>
          <w:sz w:val="24"/>
          <w:szCs w:val="24"/>
          <w:lang w:val="bg-BG"/>
        </w:rPr>
        <w:tab/>
        <w:t>Финансиране на дейностите по предоставяне на дългосрочни медицински грижи на възрастни пациенти с тежки соматични или психосоматични заболявания и състояния, в т.ч. инвалидизирани болни, които имат потребност от по-продължително или постоянно медицинско наблюдение и грижи с ниска интензивност.</w:t>
      </w:r>
    </w:p>
    <w:p w14:paraId="19601EB4" w14:textId="77777777" w:rsidR="009016A9" w:rsidRPr="008B23A1" w:rsidRDefault="009016A9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Дейностите по предоставяне на дългосрочни медицински грижи, извън дейностите по продължително лечение, финансирано с публични средства</w:t>
      </w:r>
      <w:r w:rsidR="00F31680" w:rsidRPr="008B23A1">
        <w:rPr>
          <w:rFonts w:cstheme="minorHAnsi"/>
          <w:sz w:val="24"/>
          <w:szCs w:val="24"/>
          <w:lang w:val="bg-BG"/>
        </w:rPr>
        <w:t xml:space="preserve"> от МЗ и НЗОК</w:t>
      </w:r>
      <w:r w:rsidRPr="008B23A1">
        <w:rPr>
          <w:rFonts w:cstheme="minorHAnsi"/>
          <w:sz w:val="24"/>
          <w:szCs w:val="24"/>
          <w:lang w:val="bg-BG"/>
        </w:rPr>
        <w:t xml:space="preserve"> ще се финансира чрез </w:t>
      </w:r>
      <w:r w:rsidR="00F31680" w:rsidRPr="008B23A1">
        <w:rPr>
          <w:rFonts w:cstheme="minorHAnsi"/>
          <w:sz w:val="24"/>
          <w:szCs w:val="24"/>
          <w:lang w:val="bg-BG"/>
        </w:rPr>
        <w:t xml:space="preserve">плащания за предоставяне на социални и интегрирани здравно-социални услуги по Закона за социалните услуги и частни плащания за </w:t>
      </w:r>
      <w:r w:rsidRPr="008B23A1">
        <w:rPr>
          <w:rFonts w:cstheme="minorHAnsi"/>
          <w:sz w:val="24"/>
          <w:szCs w:val="24"/>
          <w:lang w:val="bg-BG"/>
        </w:rPr>
        <w:t xml:space="preserve">предоставяне на услуги на база на формиран от лечебното заведение ценоразпис. </w:t>
      </w:r>
    </w:p>
    <w:p w14:paraId="1786A048" w14:textId="77777777" w:rsidR="009016A9" w:rsidRPr="008B23A1" w:rsidRDefault="009016A9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Допълнителни източници на финансиране се явява</w:t>
      </w:r>
      <w:r w:rsidR="00800C12" w:rsidRPr="008B23A1">
        <w:rPr>
          <w:rFonts w:cstheme="minorHAnsi"/>
          <w:sz w:val="24"/>
          <w:szCs w:val="24"/>
          <w:lang w:val="bg-BG"/>
        </w:rPr>
        <w:t>т</w:t>
      </w:r>
      <w:r w:rsidRPr="008B23A1">
        <w:rPr>
          <w:rFonts w:cstheme="minorHAnsi"/>
          <w:sz w:val="24"/>
          <w:szCs w:val="24"/>
          <w:lang w:val="bg-BG"/>
        </w:rPr>
        <w:t xml:space="preserve"> субсидии от общини, дарения и др.</w:t>
      </w:r>
    </w:p>
    <w:p w14:paraId="22BFA92C" w14:textId="77777777" w:rsidR="006F4E5E" w:rsidRPr="008B23A1" w:rsidRDefault="006F4E5E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</w:p>
    <w:p w14:paraId="2DC9CD9C" w14:textId="77777777" w:rsidR="00F31680" w:rsidRPr="008B23A1" w:rsidRDefault="00F31680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</w:p>
    <w:p w14:paraId="31E19E3C" w14:textId="77777777" w:rsidR="006F4E5E" w:rsidRPr="008B23A1" w:rsidRDefault="006F4E5E" w:rsidP="00800C12">
      <w:pPr>
        <w:spacing w:after="0"/>
        <w:ind w:firstLine="720"/>
        <w:jc w:val="both"/>
        <w:rPr>
          <w:rFonts w:cstheme="minorHAnsi"/>
          <w:b/>
          <w:sz w:val="24"/>
          <w:szCs w:val="24"/>
          <w:lang w:val="bg-BG"/>
        </w:rPr>
      </w:pPr>
      <w:r w:rsidRPr="008B23A1">
        <w:rPr>
          <w:rFonts w:cstheme="minorHAnsi"/>
          <w:b/>
          <w:sz w:val="24"/>
          <w:szCs w:val="24"/>
          <w:lang w:val="bg-BG"/>
        </w:rPr>
        <w:t xml:space="preserve">Заключение: </w:t>
      </w:r>
    </w:p>
    <w:p w14:paraId="37801EFE" w14:textId="77777777" w:rsidR="006F4E5E" w:rsidRPr="008B23A1" w:rsidRDefault="006F4E5E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 xml:space="preserve">Настоящото предложение включва краткосрочни оперативни мерки за решаване на актуален обществен проблем. </w:t>
      </w:r>
    </w:p>
    <w:p w14:paraId="4931BCC8" w14:textId="77777777" w:rsidR="006F4E5E" w:rsidRPr="008B23A1" w:rsidRDefault="006F4E5E" w:rsidP="00800C12">
      <w:pPr>
        <w:spacing w:after="0"/>
        <w:ind w:firstLine="720"/>
        <w:jc w:val="both"/>
        <w:rPr>
          <w:rFonts w:cstheme="minorHAnsi"/>
          <w:sz w:val="24"/>
          <w:szCs w:val="24"/>
          <w:lang w:val="bg-BG"/>
        </w:rPr>
      </w:pPr>
      <w:r w:rsidRPr="008B23A1">
        <w:rPr>
          <w:rFonts w:cstheme="minorHAnsi"/>
          <w:sz w:val="24"/>
          <w:szCs w:val="24"/>
          <w:lang w:val="bg-BG"/>
        </w:rPr>
        <w:t>Цялостното решение на проблемите, свързани със осигуряването на възрастните хора в България на качествени и достъпни здравни услуги, адаптирани към техните нужди изисква приемане на Национална стратегия за гериатрична грижа и остаряване в добро здраве, както е предвидено в Националната здравна стратегия 2030, която да предвиди дългосрочни мерки и адекватни финансови и човешки ресурси за реализацията си.</w:t>
      </w:r>
    </w:p>
    <w:sectPr w:rsidR="006F4E5E" w:rsidRPr="008B23A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3891" w14:textId="77777777" w:rsidR="00DD3FFC" w:rsidRDefault="00DD3FFC" w:rsidP="00EC6C08">
      <w:pPr>
        <w:spacing w:after="0" w:line="240" w:lineRule="auto"/>
      </w:pPr>
      <w:r>
        <w:separator/>
      </w:r>
    </w:p>
  </w:endnote>
  <w:endnote w:type="continuationSeparator" w:id="0">
    <w:p w14:paraId="0C6A57A4" w14:textId="77777777" w:rsidR="00DD3FFC" w:rsidRDefault="00DD3FFC" w:rsidP="00E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5529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81368" w14:textId="77777777" w:rsidR="009016A9" w:rsidRDefault="009016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C7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1BD68FA" w14:textId="77777777" w:rsidR="009016A9" w:rsidRDefault="0090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801F" w14:textId="77777777" w:rsidR="00DD3FFC" w:rsidRDefault="00DD3FFC" w:rsidP="00EC6C08">
      <w:pPr>
        <w:spacing w:after="0" w:line="240" w:lineRule="auto"/>
      </w:pPr>
      <w:r>
        <w:separator/>
      </w:r>
    </w:p>
  </w:footnote>
  <w:footnote w:type="continuationSeparator" w:id="0">
    <w:p w14:paraId="3E77A4C7" w14:textId="77777777" w:rsidR="00DD3FFC" w:rsidRDefault="00DD3FFC" w:rsidP="00EC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39F7"/>
    <w:multiLevelType w:val="multilevel"/>
    <w:tmpl w:val="CBC8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DF7"/>
    <w:multiLevelType w:val="hybridMultilevel"/>
    <w:tmpl w:val="FF646CB6"/>
    <w:lvl w:ilvl="0" w:tplc="AC06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41FCC"/>
    <w:multiLevelType w:val="hybridMultilevel"/>
    <w:tmpl w:val="35600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47418"/>
    <w:multiLevelType w:val="hybridMultilevel"/>
    <w:tmpl w:val="0CB4AD60"/>
    <w:lvl w:ilvl="0" w:tplc="B782A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BE0B74"/>
    <w:multiLevelType w:val="hybridMultilevel"/>
    <w:tmpl w:val="8A905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A124C"/>
    <w:multiLevelType w:val="hybridMultilevel"/>
    <w:tmpl w:val="83D286A8"/>
    <w:lvl w:ilvl="0" w:tplc="5994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90421"/>
    <w:multiLevelType w:val="multilevel"/>
    <w:tmpl w:val="59F6B5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62161EFD"/>
    <w:multiLevelType w:val="hybridMultilevel"/>
    <w:tmpl w:val="A978D940"/>
    <w:lvl w:ilvl="0" w:tplc="FA38D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51E46"/>
    <w:multiLevelType w:val="multilevel"/>
    <w:tmpl w:val="59F6B5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7D240B4"/>
    <w:multiLevelType w:val="hybridMultilevel"/>
    <w:tmpl w:val="FE140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EA0C61"/>
    <w:multiLevelType w:val="hybridMultilevel"/>
    <w:tmpl w:val="5F4EA6FE"/>
    <w:lvl w:ilvl="0" w:tplc="FB604B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641595">
    <w:abstractNumId w:val="4"/>
  </w:num>
  <w:num w:numId="2" w16cid:durableId="879711994">
    <w:abstractNumId w:val="3"/>
  </w:num>
  <w:num w:numId="3" w16cid:durableId="95486720">
    <w:abstractNumId w:val="6"/>
  </w:num>
  <w:num w:numId="4" w16cid:durableId="494762235">
    <w:abstractNumId w:val="5"/>
  </w:num>
  <w:num w:numId="5" w16cid:durableId="1698309236">
    <w:abstractNumId w:val="2"/>
  </w:num>
  <w:num w:numId="6" w16cid:durableId="653026526">
    <w:abstractNumId w:val="10"/>
  </w:num>
  <w:num w:numId="7" w16cid:durableId="178203723">
    <w:abstractNumId w:val="1"/>
  </w:num>
  <w:num w:numId="8" w16cid:durableId="1303999237">
    <w:abstractNumId w:val="8"/>
  </w:num>
  <w:num w:numId="9" w16cid:durableId="160512520">
    <w:abstractNumId w:val="7"/>
  </w:num>
  <w:num w:numId="10" w16cid:durableId="640044184">
    <w:abstractNumId w:val="9"/>
  </w:num>
  <w:num w:numId="11" w16cid:durableId="129703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08"/>
    <w:rsid w:val="00003BA2"/>
    <w:rsid w:val="000067B0"/>
    <w:rsid w:val="000372E5"/>
    <w:rsid w:val="00054539"/>
    <w:rsid w:val="00057756"/>
    <w:rsid w:val="00062E86"/>
    <w:rsid w:val="0007234B"/>
    <w:rsid w:val="00087A9C"/>
    <w:rsid w:val="000B2789"/>
    <w:rsid w:val="000D086E"/>
    <w:rsid w:val="000D1B95"/>
    <w:rsid w:val="00100B6F"/>
    <w:rsid w:val="00113C0C"/>
    <w:rsid w:val="00127532"/>
    <w:rsid w:val="00146CBB"/>
    <w:rsid w:val="001656E3"/>
    <w:rsid w:val="00190386"/>
    <w:rsid w:val="001A52D9"/>
    <w:rsid w:val="001F1228"/>
    <w:rsid w:val="001F3A8D"/>
    <w:rsid w:val="001F53C3"/>
    <w:rsid w:val="002004A7"/>
    <w:rsid w:val="00201F53"/>
    <w:rsid w:val="002237FA"/>
    <w:rsid w:val="00230320"/>
    <w:rsid w:val="00233692"/>
    <w:rsid w:val="00233AE1"/>
    <w:rsid w:val="00237271"/>
    <w:rsid w:val="00261E0D"/>
    <w:rsid w:val="0027203C"/>
    <w:rsid w:val="002C001D"/>
    <w:rsid w:val="002D4405"/>
    <w:rsid w:val="003F1D08"/>
    <w:rsid w:val="003F2BF4"/>
    <w:rsid w:val="00400C9E"/>
    <w:rsid w:val="004535AD"/>
    <w:rsid w:val="0049355A"/>
    <w:rsid w:val="004945C8"/>
    <w:rsid w:val="004A5877"/>
    <w:rsid w:val="004D2D73"/>
    <w:rsid w:val="00504306"/>
    <w:rsid w:val="00510FF1"/>
    <w:rsid w:val="005371B5"/>
    <w:rsid w:val="005532AF"/>
    <w:rsid w:val="00561302"/>
    <w:rsid w:val="005D78A9"/>
    <w:rsid w:val="0060020C"/>
    <w:rsid w:val="00686E3A"/>
    <w:rsid w:val="006A6D0D"/>
    <w:rsid w:val="006B3361"/>
    <w:rsid w:val="006F4E5E"/>
    <w:rsid w:val="00700B67"/>
    <w:rsid w:val="00714B91"/>
    <w:rsid w:val="00742CFB"/>
    <w:rsid w:val="007546D6"/>
    <w:rsid w:val="00757972"/>
    <w:rsid w:val="00760596"/>
    <w:rsid w:val="0076489D"/>
    <w:rsid w:val="00772C74"/>
    <w:rsid w:val="00800C12"/>
    <w:rsid w:val="0080547A"/>
    <w:rsid w:val="00841E48"/>
    <w:rsid w:val="00850FBA"/>
    <w:rsid w:val="00866373"/>
    <w:rsid w:val="008845D6"/>
    <w:rsid w:val="008937FD"/>
    <w:rsid w:val="008B23A1"/>
    <w:rsid w:val="008C3525"/>
    <w:rsid w:val="008C35E2"/>
    <w:rsid w:val="008C6AE0"/>
    <w:rsid w:val="008F2C32"/>
    <w:rsid w:val="009016A9"/>
    <w:rsid w:val="00917BE8"/>
    <w:rsid w:val="00943F6F"/>
    <w:rsid w:val="00955133"/>
    <w:rsid w:val="009B0926"/>
    <w:rsid w:val="009C0D61"/>
    <w:rsid w:val="009D658A"/>
    <w:rsid w:val="00A157A2"/>
    <w:rsid w:val="00A21C29"/>
    <w:rsid w:val="00A3704A"/>
    <w:rsid w:val="00A73DFE"/>
    <w:rsid w:val="00A9074F"/>
    <w:rsid w:val="00A90A71"/>
    <w:rsid w:val="00AA6F9D"/>
    <w:rsid w:val="00AB3084"/>
    <w:rsid w:val="00AB75C2"/>
    <w:rsid w:val="00B33F85"/>
    <w:rsid w:val="00B46057"/>
    <w:rsid w:val="00BA12EB"/>
    <w:rsid w:val="00BA56C0"/>
    <w:rsid w:val="00BB1284"/>
    <w:rsid w:val="00BD5FA3"/>
    <w:rsid w:val="00BE2B13"/>
    <w:rsid w:val="00BE31A8"/>
    <w:rsid w:val="00BF7DED"/>
    <w:rsid w:val="00C133A2"/>
    <w:rsid w:val="00CB28B7"/>
    <w:rsid w:val="00CC5A1D"/>
    <w:rsid w:val="00CD2953"/>
    <w:rsid w:val="00D01725"/>
    <w:rsid w:val="00D14E1E"/>
    <w:rsid w:val="00D26621"/>
    <w:rsid w:val="00D35080"/>
    <w:rsid w:val="00D407AF"/>
    <w:rsid w:val="00D61655"/>
    <w:rsid w:val="00D62C17"/>
    <w:rsid w:val="00D853F6"/>
    <w:rsid w:val="00D977AD"/>
    <w:rsid w:val="00DB1CD9"/>
    <w:rsid w:val="00DC77F0"/>
    <w:rsid w:val="00DD23CA"/>
    <w:rsid w:val="00DD3FFC"/>
    <w:rsid w:val="00DF5F8F"/>
    <w:rsid w:val="00E20DD9"/>
    <w:rsid w:val="00E60F2B"/>
    <w:rsid w:val="00E65280"/>
    <w:rsid w:val="00E93B61"/>
    <w:rsid w:val="00EB1B8C"/>
    <w:rsid w:val="00EC6C08"/>
    <w:rsid w:val="00ED4C8F"/>
    <w:rsid w:val="00EF361C"/>
    <w:rsid w:val="00F16532"/>
    <w:rsid w:val="00F27FBC"/>
    <w:rsid w:val="00F31512"/>
    <w:rsid w:val="00F31680"/>
    <w:rsid w:val="00F3782C"/>
    <w:rsid w:val="00F47423"/>
    <w:rsid w:val="00F575F3"/>
    <w:rsid w:val="00F61DC3"/>
    <w:rsid w:val="00F9281C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7CD80"/>
  <w15:chartTrackingRefBased/>
  <w15:docId w15:val="{7B020CB8-D548-4E72-9FE9-12E5591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C0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C08"/>
    <w:pPr>
      <w:spacing w:after="0" w:line="240" w:lineRule="auto"/>
    </w:pPr>
    <w:rPr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C08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EC6C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7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8C"/>
    <w:rPr>
      <w:rFonts w:ascii="Segoe UI" w:hAnsi="Segoe UI" w:cs="Segoe UI"/>
      <w:sz w:val="18"/>
      <w:szCs w:val="18"/>
    </w:rPr>
  </w:style>
  <w:style w:type="character" w:customStyle="1" w:styleId="samedocreference">
    <w:name w:val="samedocreference"/>
    <w:basedOn w:val="DefaultParagraphFont"/>
    <w:rsid w:val="00700B67"/>
  </w:style>
  <w:style w:type="paragraph" w:styleId="Header">
    <w:name w:val="header"/>
    <w:basedOn w:val="Normal"/>
    <w:link w:val="HeaderChar"/>
    <w:uiPriority w:val="99"/>
    <w:unhideWhenUsed/>
    <w:rsid w:val="009B09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926"/>
  </w:style>
  <w:style w:type="paragraph" w:styleId="Footer">
    <w:name w:val="footer"/>
    <w:basedOn w:val="Normal"/>
    <w:link w:val="FooterChar"/>
    <w:uiPriority w:val="99"/>
    <w:unhideWhenUsed/>
    <w:rsid w:val="009B09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926"/>
  </w:style>
  <w:style w:type="character" w:styleId="Emphasis">
    <w:name w:val="Emphasis"/>
    <w:basedOn w:val="DefaultParagraphFont"/>
    <w:uiPriority w:val="20"/>
    <w:qFormat/>
    <w:rsid w:val="00DC77F0"/>
    <w:rPr>
      <w:i/>
      <w:iCs/>
    </w:rPr>
  </w:style>
  <w:style w:type="paragraph" w:customStyle="1" w:styleId="oftext">
    <w:name w:val="oftext"/>
    <w:basedOn w:val="Normal"/>
    <w:rsid w:val="00BF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DefaultParagraphFont"/>
    <w:rsid w:val="000D1B95"/>
  </w:style>
  <w:style w:type="paragraph" w:styleId="NormalWeb">
    <w:name w:val="Normal (Web)"/>
    <w:basedOn w:val="Normal"/>
    <w:uiPriority w:val="99"/>
    <w:semiHidden/>
    <w:unhideWhenUsed/>
    <w:rsid w:val="00CD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b="1"/>
              <a:t>Разкрити болнични легла по видове към 31.12.2024г. (НСИ)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cap="none" spc="2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'[Легла в лечебните заведения за болнична помощ на 31.12. по видове легла, статистически зони и статистически райони (ревизирана групировка).xlsx]Sheet1'!$C$2:$F$2</c:f>
              <c:strCache>
                <c:ptCount val="4"/>
                <c:pt idx="0">
                  <c:v>Легла за активно и интензивно лечение</c:v>
                </c:pt>
                <c:pt idx="1">
                  <c:v>Легла за рехабили-тационна грижа</c:v>
                </c:pt>
                <c:pt idx="2">
                  <c:v>Легла за дългосрочна грижа</c:v>
                </c:pt>
                <c:pt idx="3">
                  <c:v>Легла за дългосрочна психиатрична грижа</c:v>
                </c:pt>
              </c:strCache>
            </c:strRef>
          </c:cat>
          <c:val>
            <c:numRef>
              <c:f>'[Легла в лечебните заведения за болнична помощ на 31.12. по видове легла, статистически зони и статистически райони (ревизирана групировка).xlsx]Sheet1'!$C$3:$F$3</c:f>
              <c:numCache>
                <c:formatCode>0</c:formatCode>
                <c:ptCount val="4"/>
                <c:pt idx="0">
                  <c:v>46233</c:v>
                </c:pt>
                <c:pt idx="1">
                  <c:v>7194</c:v>
                </c:pt>
                <c:pt idx="2">
                  <c:v>1078</c:v>
                </c:pt>
                <c:pt idx="3" formatCode="General">
                  <c:v>1219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40-4C0F-AD8B-C0006EA131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00545224"/>
        <c:axId val="500542600"/>
      </c:barChart>
      <c:catAx>
        <c:axId val="500545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00542600"/>
        <c:crosses val="autoZero"/>
        <c:auto val="1"/>
        <c:lblAlgn val="ctr"/>
        <c:lblOffset val="100"/>
        <c:noMultiLvlLbl val="0"/>
      </c:catAx>
      <c:valAx>
        <c:axId val="500542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00545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b="1"/>
              <a:t>Брой заети и незаети легла по видове лечебни заведения (НЦОЗА, 2023г.)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Sheet2!$X$12</c:f>
              <c:strCache>
                <c:ptCount val="1"/>
                <c:pt idx="0">
                  <c:v>заети легла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Sheet2!$W$13:$W$15</c:f>
              <c:strCache>
                <c:ptCount val="3"/>
                <c:pt idx="0">
                  <c:v>държавни</c:v>
                </c:pt>
                <c:pt idx="1">
                  <c:v>общински</c:v>
                </c:pt>
                <c:pt idx="2">
                  <c:v>частни</c:v>
                </c:pt>
              </c:strCache>
            </c:strRef>
          </c:cat>
          <c:val>
            <c:numRef>
              <c:f>Sheet2!$X$13:$X$15</c:f>
              <c:numCache>
                <c:formatCode>0</c:formatCode>
                <c:ptCount val="3"/>
                <c:pt idx="0">
                  <c:v>12981</c:v>
                </c:pt>
                <c:pt idx="1">
                  <c:v>5541.75</c:v>
                </c:pt>
                <c:pt idx="2">
                  <c:v>9357.99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3C-46B7-B446-79FBCEA8EF67}"/>
            </c:ext>
          </c:extLst>
        </c:ser>
        <c:ser>
          <c:idx val="1"/>
          <c:order val="1"/>
          <c:tx>
            <c:strRef>
              <c:f>Sheet2!$Y$12</c:f>
              <c:strCache>
                <c:ptCount val="1"/>
                <c:pt idx="0">
                  <c:v>незаети легла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Sheet2!$W$13:$W$15</c:f>
              <c:strCache>
                <c:ptCount val="3"/>
                <c:pt idx="0">
                  <c:v>държавни</c:v>
                </c:pt>
                <c:pt idx="1">
                  <c:v>общински</c:v>
                </c:pt>
                <c:pt idx="2">
                  <c:v>частни</c:v>
                </c:pt>
              </c:strCache>
            </c:strRef>
          </c:cat>
          <c:val>
            <c:numRef>
              <c:f>Sheet2!$Y$13:$Y$15</c:f>
              <c:numCache>
                <c:formatCode>0</c:formatCode>
                <c:ptCount val="3"/>
                <c:pt idx="0">
                  <c:v>8654</c:v>
                </c:pt>
                <c:pt idx="1">
                  <c:v>6773.25</c:v>
                </c:pt>
                <c:pt idx="2">
                  <c:v>6503.01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3C-46B7-B446-79FBCEA8EF6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93325359"/>
        <c:axId val="1593322863"/>
      </c:barChart>
      <c:catAx>
        <c:axId val="1593325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93322863"/>
        <c:crosses val="autoZero"/>
        <c:auto val="1"/>
        <c:lblAlgn val="ctr"/>
        <c:lblOffset val="100"/>
        <c:noMultiLvlLbl val="0"/>
      </c:catAx>
      <c:valAx>
        <c:axId val="1593322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93325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 sz="1200" b="1">
                <a:solidFill>
                  <a:sysClr val="windowText" lastClr="000000"/>
                </a:solidFill>
              </a:rPr>
              <a:t>Брой преминали болни за година (2023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болници.xlsx]Sheet1'!$B$8:$B$76</c:f>
            </c:numRef>
          </c:val>
          <c:extLst>
            <c:ext xmlns:c16="http://schemas.microsoft.com/office/drawing/2014/chart" uri="{C3380CC4-5D6E-409C-BE32-E72D297353CC}">
              <c16:uniqueId val="{00000000-EDF8-4045-9BE6-1C819A01270C}"/>
            </c:ext>
          </c:extLst>
        </c:ser>
        <c:ser>
          <c:idx val="1"/>
          <c:order val="1"/>
          <c:spPr>
            <a:gradFill>
              <a:gsLst>
                <a:gs pos="0">
                  <a:schemeClr val="accent2"/>
                </a:gs>
                <a:gs pos="100000">
                  <a:schemeClr val="accent2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болници.xlsx]Sheet1'!$C$8:$C$76</c:f>
            </c:numRef>
          </c:val>
          <c:extLst>
            <c:ext xmlns:c16="http://schemas.microsoft.com/office/drawing/2014/chart" uri="{C3380CC4-5D6E-409C-BE32-E72D297353CC}">
              <c16:uniqueId val="{00000001-EDF8-4045-9BE6-1C819A01270C}"/>
            </c:ext>
          </c:extLst>
        </c:ser>
        <c:ser>
          <c:idx val="2"/>
          <c:order val="2"/>
          <c:spPr>
            <a:gradFill>
              <a:gsLst>
                <a:gs pos="0">
                  <a:schemeClr val="accent3"/>
                </a:gs>
                <a:gs pos="100000">
                  <a:schemeClr val="accent3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болници.xlsx]Sheet1'!$D$8:$D$76</c:f>
            </c:numRef>
          </c:val>
          <c:extLst>
            <c:ext xmlns:c16="http://schemas.microsoft.com/office/drawing/2014/chart" uri="{C3380CC4-5D6E-409C-BE32-E72D297353CC}">
              <c16:uniqueId val="{00000002-EDF8-4045-9BE6-1C819A01270C}"/>
            </c:ext>
          </c:extLst>
        </c:ser>
        <c:ser>
          <c:idx val="3"/>
          <c:order val="3"/>
          <c:spPr>
            <a:gradFill>
              <a:gsLst>
                <a:gs pos="0">
                  <a:schemeClr val="accent4"/>
                </a:gs>
                <a:gs pos="100000">
                  <a:schemeClr val="accent4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болници.xlsx]Sheet1'!$E$8:$E$76</c:f>
            </c:numRef>
          </c:val>
          <c:extLst>
            <c:ext xmlns:c16="http://schemas.microsoft.com/office/drawing/2014/chart" uri="{C3380CC4-5D6E-409C-BE32-E72D297353CC}">
              <c16:uniqueId val="{00000003-EDF8-4045-9BE6-1C819A01270C}"/>
            </c:ext>
          </c:extLst>
        </c:ser>
        <c:ser>
          <c:idx val="4"/>
          <c:order val="4"/>
          <c:spPr>
            <a:gradFill>
              <a:gsLst>
                <a:gs pos="0">
                  <a:schemeClr val="accent5"/>
                </a:gs>
                <a:gs pos="100000">
                  <a:schemeClr val="accent5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болници.xlsx]Sheet1'!$F$8:$F$76</c:f>
            </c:numRef>
          </c:val>
          <c:extLst>
            <c:ext xmlns:c16="http://schemas.microsoft.com/office/drawing/2014/chart" uri="{C3380CC4-5D6E-409C-BE32-E72D297353CC}">
              <c16:uniqueId val="{00000004-EDF8-4045-9BE6-1C819A01270C}"/>
            </c:ext>
          </c:extLst>
        </c:ser>
        <c:ser>
          <c:idx val="5"/>
          <c:order val="5"/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болници.xlsx]Sheet1'!$G$8:$G$76</c:f>
            </c:numRef>
          </c:val>
          <c:extLst>
            <c:ext xmlns:c16="http://schemas.microsoft.com/office/drawing/2014/chart" uri="{C3380CC4-5D6E-409C-BE32-E72D297353CC}">
              <c16:uniqueId val="{00000005-EDF8-4045-9BE6-1C819A01270C}"/>
            </c:ext>
          </c:extLst>
        </c:ser>
        <c:ser>
          <c:idx val="6"/>
          <c:order val="6"/>
          <c:spPr>
            <a:gradFill>
              <a:gsLst>
                <a:gs pos="0">
                  <a:schemeClr val="accent1">
                    <a:lumMod val="60000"/>
                  </a:schemeClr>
                </a:gs>
                <a:gs pos="100000">
                  <a:schemeClr val="accent1">
                    <a:lumMod val="6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болници.xlsx]Sheet1'!$H$8:$H$76</c:f>
            </c:numRef>
          </c:val>
          <c:extLst>
            <c:ext xmlns:c16="http://schemas.microsoft.com/office/drawing/2014/chart" uri="{C3380CC4-5D6E-409C-BE32-E72D297353CC}">
              <c16:uniqueId val="{00000006-EDF8-4045-9BE6-1C819A01270C}"/>
            </c:ext>
          </c:extLst>
        </c:ser>
        <c:ser>
          <c:idx val="7"/>
          <c:order val="7"/>
          <c:spPr>
            <a:gradFill>
              <a:gsLst>
                <a:gs pos="0">
                  <a:schemeClr val="accent2">
                    <a:lumMod val="60000"/>
                  </a:schemeClr>
                </a:gs>
                <a:gs pos="100000">
                  <a:schemeClr val="accent2">
                    <a:lumMod val="6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болници.xlsx]Sheet1'!$I$8:$I$76</c:f>
            </c:numRef>
          </c:val>
          <c:extLst>
            <c:ext xmlns:c16="http://schemas.microsoft.com/office/drawing/2014/chart" uri="{C3380CC4-5D6E-409C-BE32-E72D297353CC}">
              <c16:uniqueId val="{00000007-EDF8-4045-9BE6-1C819A01270C}"/>
            </c:ext>
          </c:extLst>
        </c:ser>
        <c:ser>
          <c:idx val="8"/>
          <c:order val="8"/>
          <c:spPr>
            <a:gradFill>
              <a:gsLst>
                <a:gs pos="0">
                  <a:schemeClr val="accent3">
                    <a:lumMod val="60000"/>
                  </a:schemeClr>
                </a:gs>
                <a:gs pos="100000">
                  <a:schemeClr val="accent3">
                    <a:lumMod val="6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болници.xlsx]Sheet1'!$J$8:$J$76</c:f>
            </c:numRef>
          </c:val>
          <c:extLst>
            <c:ext xmlns:c16="http://schemas.microsoft.com/office/drawing/2014/chart" uri="{C3380CC4-5D6E-409C-BE32-E72D297353CC}">
              <c16:uniqueId val="{00000008-EDF8-4045-9BE6-1C819A01270C}"/>
            </c:ext>
          </c:extLst>
        </c:ser>
        <c:ser>
          <c:idx val="9"/>
          <c:order val="9"/>
          <c:spPr>
            <a:gradFill>
              <a:gsLst>
                <a:gs pos="0">
                  <a:schemeClr val="accent4">
                    <a:lumMod val="60000"/>
                  </a:schemeClr>
                </a:gs>
                <a:gs pos="100000">
                  <a:schemeClr val="accent4">
                    <a:lumMod val="6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болници.xlsx]Sheet1'!$K$8:$K$76</c:f>
            </c:numRef>
          </c:val>
          <c:extLst>
            <c:ext xmlns:c16="http://schemas.microsoft.com/office/drawing/2014/chart" uri="{C3380CC4-5D6E-409C-BE32-E72D297353CC}">
              <c16:uniqueId val="{00000009-EDF8-4045-9BE6-1C819A01270C}"/>
            </c:ext>
          </c:extLst>
        </c:ser>
        <c:ser>
          <c:idx val="10"/>
          <c:order val="10"/>
          <c:spPr>
            <a:gradFill>
              <a:gsLst>
                <a:gs pos="0">
                  <a:schemeClr val="accent5">
                    <a:lumMod val="60000"/>
                  </a:schemeClr>
                </a:gs>
                <a:gs pos="100000">
                  <a:schemeClr val="accent5">
                    <a:lumMod val="6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болници.xlsx]Sheet1'!$L$8:$L$76</c:f>
            </c:numRef>
          </c:val>
          <c:extLst>
            <c:ext xmlns:c16="http://schemas.microsoft.com/office/drawing/2014/chart" uri="{C3380CC4-5D6E-409C-BE32-E72D297353CC}">
              <c16:uniqueId val="{0000000A-EDF8-4045-9BE6-1C819A01270C}"/>
            </c:ext>
          </c:extLst>
        </c:ser>
        <c:ser>
          <c:idx val="11"/>
          <c:order val="11"/>
          <c:spPr>
            <a:gradFill>
              <a:gsLst>
                <a:gs pos="0">
                  <a:schemeClr val="accent6">
                    <a:lumMod val="60000"/>
                  </a:schemeClr>
                </a:gs>
                <a:gs pos="100000">
                  <a:schemeClr val="accent6">
                    <a:lumMod val="6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болници.xlsx]Sheet1'!$M$8:$M$76</c:f>
            </c:numRef>
          </c:val>
          <c:extLst>
            <c:ext xmlns:c16="http://schemas.microsoft.com/office/drawing/2014/chart" uri="{C3380CC4-5D6E-409C-BE32-E72D297353CC}">
              <c16:uniqueId val="{0000000B-EDF8-4045-9BE6-1C819A01270C}"/>
            </c:ext>
          </c:extLst>
        </c:ser>
        <c:ser>
          <c:idx val="12"/>
          <c:order val="12"/>
          <c:spPr>
            <a:gradFill>
              <a:gsLst>
                <a:gs pos="0">
                  <a:schemeClr val="accent1">
                    <a:lumMod val="80000"/>
                    <a:lumOff val="20000"/>
                  </a:schemeClr>
                </a:gs>
                <a:gs pos="100000">
                  <a:schemeClr val="accent1">
                    <a:lumMod val="80000"/>
                    <a:lumOff val="2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болници.xlsx]Sheet1'!$N$8:$N$76</c:f>
            </c:numRef>
          </c:val>
          <c:extLst>
            <c:ext xmlns:c16="http://schemas.microsoft.com/office/drawing/2014/chart" uri="{C3380CC4-5D6E-409C-BE32-E72D297353CC}">
              <c16:uniqueId val="{0000000C-EDF8-4045-9BE6-1C819A01270C}"/>
            </c:ext>
          </c:extLst>
        </c:ser>
        <c:ser>
          <c:idx val="13"/>
          <c:order val="13"/>
          <c:spPr>
            <a:gradFill>
              <a:gsLst>
                <a:gs pos="0">
                  <a:schemeClr val="accent2">
                    <a:lumMod val="80000"/>
                    <a:lumOff val="20000"/>
                  </a:schemeClr>
                </a:gs>
                <a:gs pos="100000">
                  <a:schemeClr val="accent2">
                    <a:lumMod val="80000"/>
                    <a:lumOff val="2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болници.xlsx]Sheet1'!$O$8:$O$76</c:f>
            </c:numRef>
          </c:val>
          <c:extLst>
            <c:ext xmlns:c16="http://schemas.microsoft.com/office/drawing/2014/chart" uri="{C3380CC4-5D6E-409C-BE32-E72D297353CC}">
              <c16:uniqueId val="{0000000D-EDF8-4045-9BE6-1C819A01270C}"/>
            </c:ext>
          </c:extLst>
        </c:ser>
        <c:ser>
          <c:idx val="14"/>
          <c:order val="14"/>
          <c:spPr>
            <a:gradFill>
              <a:gsLst>
                <a:gs pos="0">
                  <a:schemeClr val="accent3">
                    <a:lumMod val="80000"/>
                    <a:lumOff val="20000"/>
                  </a:schemeClr>
                </a:gs>
                <a:gs pos="100000">
                  <a:schemeClr val="accent3">
                    <a:lumMod val="80000"/>
                    <a:lumOff val="2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болници.xlsx]Sheet1'!$P$8:$P$76</c:f>
            </c:numRef>
          </c:val>
          <c:extLst>
            <c:ext xmlns:c16="http://schemas.microsoft.com/office/drawing/2014/chart" uri="{C3380CC4-5D6E-409C-BE32-E72D297353CC}">
              <c16:uniqueId val="{0000000E-EDF8-4045-9BE6-1C819A01270C}"/>
            </c:ext>
          </c:extLst>
        </c:ser>
        <c:ser>
          <c:idx val="15"/>
          <c:order val="15"/>
          <c:spPr>
            <a:gradFill>
              <a:gsLst>
                <a:gs pos="0">
                  <a:schemeClr val="accent4">
                    <a:lumMod val="80000"/>
                    <a:lumOff val="20000"/>
                  </a:schemeClr>
                </a:gs>
                <a:gs pos="100000">
                  <a:schemeClr val="accent4">
                    <a:lumMod val="80000"/>
                    <a:lumOff val="2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болници.xlsx]Sheet1'!$Q$8:$Q$76</c:f>
            </c:numRef>
          </c:val>
          <c:extLst>
            <c:ext xmlns:c16="http://schemas.microsoft.com/office/drawing/2014/chart" uri="{C3380CC4-5D6E-409C-BE32-E72D297353CC}">
              <c16:uniqueId val="{0000000F-EDF8-4045-9BE6-1C819A01270C}"/>
            </c:ext>
          </c:extLst>
        </c:ser>
        <c:ser>
          <c:idx val="16"/>
          <c:order val="16"/>
          <c:spPr>
            <a:gradFill>
              <a:gsLst>
                <a:gs pos="0">
                  <a:schemeClr val="accent5">
                    <a:lumMod val="80000"/>
                    <a:lumOff val="20000"/>
                  </a:schemeClr>
                </a:gs>
                <a:gs pos="100000">
                  <a:schemeClr val="accent5">
                    <a:lumMod val="80000"/>
                    <a:lumOff val="2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болници.xlsx]Sheet1'!$R$8:$R$76</c:f>
            </c:numRef>
          </c:val>
          <c:extLst>
            <c:ext xmlns:c16="http://schemas.microsoft.com/office/drawing/2014/chart" uri="{C3380CC4-5D6E-409C-BE32-E72D297353CC}">
              <c16:uniqueId val="{00000010-EDF8-4045-9BE6-1C819A01270C}"/>
            </c:ext>
          </c:extLst>
        </c:ser>
        <c:ser>
          <c:idx val="17"/>
          <c:order val="17"/>
          <c:spPr>
            <a:gradFill>
              <a:gsLst>
                <a:gs pos="0">
                  <a:schemeClr val="accent6">
                    <a:lumMod val="80000"/>
                    <a:lumOff val="20000"/>
                  </a:schemeClr>
                </a:gs>
                <a:gs pos="100000">
                  <a:schemeClr val="accent6">
                    <a:lumMod val="80000"/>
                    <a:lumOff val="2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болници.xlsx]Sheet1'!$S$8:$S$76</c:f>
            </c:numRef>
          </c:val>
          <c:extLst>
            <c:ext xmlns:c16="http://schemas.microsoft.com/office/drawing/2014/chart" uri="{C3380CC4-5D6E-409C-BE32-E72D297353CC}">
              <c16:uniqueId val="{00000011-EDF8-4045-9BE6-1C819A01270C}"/>
            </c:ext>
          </c:extLst>
        </c:ser>
        <c:ser>
          <c:idx val="18"/>
          <c:order val="18"/>
          <c:spPr>
            <a:gradFill>
              <a:gsLst>
                <a:gs pos="0">
                  <a:schemeClr val="accent1">
                    <a:lumMod val="80000"/>
                  </a:schemeClr>
                </a:gs>
                <a:gs pos="100000">
                  <a:schemeClr val="accent1">
                    <a:lumMod val="8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болници.xlsx]Sheet1'!$T$8:$T$76</c:f>
            </c:numRef>
          </c:val>
          <c:extLst>
            <c:ext xmlns:c16="http://schemas.microsoft.com/office/drawing/2014/chart" uri="{C3380CC4-5D6E-409C-BE32-E72D297353CC}">
              <c16:uniqueId val="{00000012-EDF8-4045-9BE6-1C819A01270C}"/>
            </c:ext>
          </c:extLst>
        </c:ser>
        <c:ser>
          <c:idx val="19"/>
          <c:order val="19"/>
          <c:spPr>
            <a:gradFill>
              <a:gsLst>
                <a:gs pos="0">
                  <a:schemeClr val="accent2">
                    <a:lumMod val="80000"/>
                  </a:schemeClr>
                </a:gs>
                <a:gs pos="100000">
                  <a:schemeClr val="accent2">
                    <a:lumMod val="8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болници.xlsx]Sheet1'!$U$8:$U$76</c:f>
            </c:numRef>
          </c:val>
          <c:extLst>
            <c:ext xmlns:c16="http://schemas.microsoft.com/office/drawing/2014/chart" uri="{C3380CC4-5D6E-409C-BE32-E72D297353CC}">
              <c16:uniqueId val="{00000013-EDF8-4045-9BE6-1C819A01270C}"/>
            </c:ext>
          </c:extLst>
        </c:ser>
        <c:ser>
          <c:idx val="20"/>
          <c:order val="20"/>
          <c:spPr>
            <a:gradFill>
              <a:gsLst>
                <a:gs pos="0">
                  <a:schemeClr val="accent3">
                    <a:lumMod val="80000"/>
                  </a:schemeClr>
                </a:gs>
                <a:gs pos="100000">
                  <a:schemeClr val="accent3">
                    <a:lumMod val="8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болници.xlsx]Sheet1'!$V$8:$V$76</c:f>
            </c:numRef>
          </c:val>
          <c:extLst>
            <c:ext xmlns:c16="http://schemas.microsoft.com/office/drawing/2014/chart" uri="{C3380CC4-5D6E-409C-BE32-E72D297353CC}">
              <c16:uniqueId val="{00000014-EDF8-4045-9BE6-1C819A01270C}"/>
            </c:ext>
          </c:extLst>
        </c:ser>
        <c:ser>
          <c:idx val="21"/>
          <c:order val="21"/>
          <c:spPr>
            <a:gradFill>
              <a:gsLst>
                <a:gs pos="0">
                  <a:schemeClr val="accent4">
                    <a:lumMod val="80000"/>
                  </a:schemeClr>
                </a:gs>
                <a:gs pos="100000">
                  <a:schemeClr val="accent4">
                    <a:lumMod val="8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болници.xlsx]Sheet1'!$W$8:$W$76</c:f>
            </c:numRef>
          </c:val>
          <c:extLst>
            <c:ext xmlns:c16="http://schemas.microsoft.com/office/drawing/2014/chart" uri="{C3380CC4-5D6E-409C-BE32-E72D297353CC}">
              <c16:uniqueId val="{00000015-EDF8-4045-9BE6-1C819A01270C}"/>
            </c:ext>
          </c:extLst>
        </c:ser>
        <c:ser>
          <c:idx val="22"/>
          <c:order val="22"/>
          <c:spPr>
            <a:gradFill>
              <a:gsLst>
                <a:gs pos="0">
                  <a:schemeClr val="accent5">
                    <a:lumMod val="80000"/>
                  </a:schemeClr>
                </a:gs>
                <a:gs pos="100000">
                  <a:schemeClr val="accent5">
                    <a:lumMod val="8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болници.xlsx]Sheet1'!$X$8:$X$76</c:f>
            </c:numRef>
          </c:val>
          <c:extLst>
            <c:ext xmlns:c16="http://schemas.microsoft.com/office/drawing/2014/chart" uri="{C3380CC4-5D6E-409C-BE32-E72D297353CC}">
              <c16:uniqueId val="{00000016-EDF8-4045-9BE6-1C819A01270C}"/>
            </c:ext>
          </c:extLst>
        </c:ser>
        <c:ser>
          <c:idx val="23"/>
          <c:order val="23"/>
          <c:spPr>
            <a:gradFill>
              <a:gsLst>
                <a:gs pos="0">
                  <a:schemeClr val="accent6">
                    <a:lumMod val="80000"/>
                  </a:schemeClr>
                </a:gs>
                <a:gs pos="100000">
                  <a:schemeClr val="accent6">
                    <a:lumMod val="8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болници.xlsx]Sheet1'!$Y$8:$Y$76</c:f>
            </c:numRef>
          </c:val>
          <c:extLst>
            <c:ext xmlns:c16="http://schemas.microsoft.com/office/drawing/2014/chart" uri="{C3380CC4-5D6E-409C-BE32-E72D297353CC}">
              <c16:uniqueId val="{00000017-EDF8-4045-9BE6-1C819A01270C}"/>
            </c:ext>
          </c:extLst>
        </c:ser>
        <c:ser>
          <c:idx val="24"/>
          <c:order val="24"/>
          <c:spPr>
            <a:gradFill>
              <a:gsLst>
                <a:gs pos="0">
                  <a:schemeClr val="accent1">
                    <a:lumMod val="60000"/>
                    <a:lumOff val="40000"/>
                  </a:schemeClr>
                </a:gs>
                <a:gs pos="100000">
                  <a:schemeClr val="accent1">
                    <a:lumMod val="60000"/>
                    <a:lumOff val="4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болници.xlsx]Sheet1'!$Z$8:$Z$76</c:f>
            </c:numRef>
          </c:val>
          <c:extLst>
            <c:ext xmlns:c16="http://schemas.microsoft.com/office/drawing/2014/chart" uri="{C3380CC4-5D6E-409C-BE32-E72D297353CC}">
              <c16:uniqueId val="{00000018-EDF8-4045-9BE6-1C819A01270C}"/>
            </c:ext>
          </c:extLst>
        </c:ser>
        <c:ser>
          <c:idx val="25"/>
          <c:order val="25"/>
          <c:spPr>
            <a:gradFill>
              <a:gsLst>
                <a:gs pos="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60000"/>
                    <a:lumOff val="4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болници.xlsx]Sheet1'!$AA$8:$AA$76</c:f>
            </c:numRef>
          </c:val>
          <c:extLst>
            <c:ext xmlns:c16="http://schemas.microsoft.com/office/drawing/2014/chart" uri="{C3380CC4-5D6E-409C-BE32-E72D297353CC}">
              <c16:uniqueId val="{00000019-EDF8-4045-9BE6-1C819A01270C}"/>
            </c:ext>
          </c:extLst>
        </c:ser>
        <c:ser>
          <c:idx val="26"/>
          <c:order val="26"/>
          <c:spPr>
            <a:gradFill>
              <a:gsLst>
                <a:gs pos="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60000"/>
                    <a:lumOff val="4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болници.xlsx]Sheet1'!$AB$8:$AB$76</c:f>
            </c:numRef>
          </c:val>
          <c:extLst>
            <c:ext xmlns:c16="http://schemas.microsoft.com/office/drawing/2014/chart" uri="{C3380CC4-5D6E-409C-BE32-E72D297353CC}">
              <c16:uniqueId val="{0000001A-EDF8-4045-9BE6-1C819A01270C}"/>
            </c:ext>
          </c:extLst>
        </c:ser>
        <c:ser>
          <c:idx val="27"/>
          <c:order val="27"/>
          <c:spPr>
            <a:gradFill>
              <a:gsLst>
                <a:gs pos="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60000"/>
                    <a:lumOff val="4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болници.xlsx]Sheet1'!$AC$8:$AC$76</c:f>
            </c:numRef>
          </c:val>
          <c:extLst>
            <c:ext xmlns:c16="http://schemas.microsoft.com/office/drawing/2014/chart" uri="{C3380CC4-5D6E-409C-BE32-E72D297353CC}">
              <c16:uniqueId val="{0000001B-EDF8-4045-9BE6-1C819A01270C}"/>
            </c:ext>
          </c:extLst>
        </c:ser>
        <c:ser>
          <c:idx val="28"/>
          <c:order val="28"/>
          <c:spPr>
            <a:gradFill>
              <a:gsLst>
                <a:gs pos="0">
                  <a:schemeClr val="accent5">
                    <a:lumMod val="60000"/>
                    <a:lumOff val="40000"/>
                  </a:schemeClr>
                </a:gs>
                <a:gs pos="100000">
                  <a:schemeClr val="accent5">
                    <a:lumMod val="60000"/>
                    <a:lumOff val="4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болници.xlsx]Sheet1'!$AD$8:$AD$76</c:f>
            </c:numRef>
          </c:val>
          <c:extLst>
            <c:ext xmlns:c16="http://schemas.microsoft.com/office/drawing/2014/chart" uri="{C3380CC4-5D6E-409C-BE32-E72D297353CC}">
              <c16:uniqueId val="{0000001C-EDF8-4045-9BE6-1C819A01270C}"/>
            </c:ext>
          </c:extLst>
        </c:ser>
        <c:ser>
          <c:idx val="29"/>
          <c:order val="29"/>
          <c:spPr>
            <a:gradFill>
              <a:gsLst>
                <a:gs pos="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60000"/>
                    <a:lumOff val="4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болници.xlsx]Sheet1'!$AE$8:$AE$76</c:f>
            </c:numRef>
          </c:val>
          <c:extLst>
            <c:ext xmlns:c16="http://schemas.microsoft.com/office/drawing/2014/chart" uri="{C3380CC4-5D6E-409C-BE32-E72D297353CC}">
              <c16:uniqueId val="{0000001D-EDF8-4045-9BE6-1C819A01270C}"/>
            </c:ext>
          </c:extLst>
        </c:ser>
        <c:ser>
          <c:idx val="30"/>
          <c:order val="30"/>
          <c:spPr>
            <a:gradFill>
              <a:gsLst>
                <a:gs pos="0">
                  <a:schemeClr val="accent1">
                    <a:lumMod val="50000"/>
                  </a:schemeClr>
                </a:gs>
                <a:gs pos="100000">
                  <a:schemeClr val="accent1">
                    <a:lumMod val="5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болници.xlsx]Sheet1'!$AF$8:$AF$76</c:f>
            </c:numRef>
          </c:val>
          <c:extLst>
            <c:ext xmlns:c16="http://schemas.microsoft.com/office/drawing/2014/chart" uri="{C3380CC4-5D6E-409C-BE32-E72D297353CC}">
              <c16:uniqueId val="{0000001E-EDF8-4045-9BE6-1C819A01270C}"/>
            </c:ext>
          </c:extLst>
        </c:ser>
        <c:ser>
          <c:idx val="31"/>
          <c:order val="31"/>
          <c:spPr>
            <a:gradFill>
              <a:gsLst>
                <a:gs pos="0">
                  <a:schemeClr val="accent2">
                    <a:lumMod val="50000"/>
                  </a:schemeClr>
                </a:gs>
                <a:gs pos="100000">
                  <a:schemeClr val="accent2">
                    <a:lumMod val="5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болници.xlsx]Sheet1'!$AG$8:$AG$76</c:f>
            </c:numRef>
          </c:val>
          <c:extLst>
            <c:ext xmlns:c16="http://schemas.microsoft.com/office/drawing/2014/chart" uri="{C3380CC4-5D6E-409C-BE32-E72D297353CC}">
              <c16:uniqueId val="{0000001F-EDF8-4045-9BE6-1C819A01270C}"/>
            </c:ext>
          </c:extLst>
        </c:ser>
        <c:ser>
          <c:idx val="32"/>
          <c:order val="32"/>
          <c:spPr>
            <a:gradFill>
              <a:gsLst>
                <a:gs pos="0">
                  <a:schemeClr val="accent3">
                    <a:lumMod val="50000"/>
                  </a:schemeClr>
                </a:gs>
                <a:gs pos="100000">
                  <a:schemeClr val="accent3">
                    <a:lumMod val="5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болници.xlsx]Sheet1'!$AH$8:$AH$76</c:f>
            </c:numRef>
          </c:val>
          <c:extLst>
            <c:ext xmlns:c16="http://schemas.microsoft.com/office/drawing/2014/chart" uri="{C3380CC4-5D6E-409C-BE32-E72D297353CC}">
              <c16:uniqueId val="{00000020-EDF8-4045-9BE6-1C819A01270C}"/>
            </c:ext>
          </c:extLst>
        </c:ser>
        <c:ser>
          <c:idx val="33"/>
          <c:order val="33"/>
          <c:spPr>
            <a:gradFill>
              <a:gsLst>
                <a:gs pos="0">
                  <a:schemeClr val="accent4">
                    <a:lumMod val="50000"/>
                  </a:schemeClr>
                </a:gs>
                <a:gs pos="100000">
                  <a:schemeClr val="accent4">
                    <a:lumMod val="5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болници.xlsx]Sheet1'!$AI$8:$AI$76</c:f>
            </c:numRef>
          </c:val>
          <c:extLst>
            <c:ext xmlns:c16="http://schemas.microsoft.com/office/drawing/2014/chart" uri="{C3380CC4-5D6E-409C-BE32-E72D297353CC}">
              <c16:uniqueId val="{00000021-EDF8-4045-9BE6-1C819A01270C}"/>
            </c:ext>
          </c:extLst>
        </c:ser>
        <c:ser>
          <c:idx val="34"/>
          <c:order val="34"/>
          <c:spPr>
            <a:gradFill>
              <a:gsLst>
                <a:gs pos="0">
                  <a:schemeClr val="accent5">
                    <a:lumMod val="50000"/>
                  </a:schemeClr>
                </a:gs>
                <a:gs pos="100000">
                  <a:schemeClr val="accent5">
                    <a:lumMod val="5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болници.xlsx]Sheet1'!$AJ$8:$AJ$76</c:f>
            </c:numRef>
          </c:val>
          <c:extLst>
            <c:ext xmlns:c16="http://schemas.microsoft.com/office/drawing/2014/chart" uri="{C3380CC4-5D6E-409C-BE32-E72D297353CC}">
              <c16:uniqueId val="{00000022-EDF8-4045-9BE6-1C819A01270C}"/>
            </c:ext>
          </c:extLst>
        </c:ser>
        <c:ser>
          <c:idx val="35"/>
          <c:order val="35"/>
          <c:spPr>
            <a:gradFill>
              <a:gsLst>
                <a:gs pos="0">
                  <a:schemeClr val="accent6">
                    <a:lumMod val="50000"/>
                  </a:schemeClr>
                </a:gs>
                <a:gs pos="100000">
                  <a:schemeClr val="accent6">
                    <a:lumMod val="5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болници.xlsx]Sheet1'!$AK$8:$AK$76</c:f>
            </c:numRef>
          </c:val>
          <c:extLst>
            <c:ext xmlns:c16="http://schemas.microsoft.com/office/drawing/2014/chart" uri="{C3380CC4-5D6E-409C-BE32-E72D297353CC}">
              <c16:uniqueId val="{00000023-EDF8-4045-9BE6-1C819A01270C}"/>
            </c:ext>
          </c:extLst>
        </c:ser>
        <c:ser>
          <c:idx val="36"/>
          <c:order val="36"/>
          <c:spPr>
            <a:gradFill>
              <a:gsLst>
                <a:gs pos="0">
                  <a:schemeClr val="accent1">
                    <a:lumMod val="70000"/>
                    <a:lumOff val="30000"/>
                  </a:schemeClr>
                </a:gs>
                <a:gs pos="100000">
                  <a:schemeClr val="accent1">
                    <a:lumMod val="70000"/>
                    <a:lumOff val="3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болници.xlsx]Sheet1'!$AL$8:$AL$76</c:f>
            </c:numRef>
          </c:val>
          <c:extLst>
            <c:ext xmlns:c16="http://schemas.microsoft.com/office/drawing/2014/chart" uri="{C3380CC4-5D6E-409C-BE32-E72D297353CC}">
              <c16:uniqueId val="{00000024-EDF8-4045-9BE6-1C819A01270C}"/>
            </c:ext>
          </c:extLst>
        </c:ser>
        <c:ser>
          <c:idx val="37"/>
          <c:order val="37"/>
          <c:spPr>
            <a:gradFill>
              <a:gsLst>
                <a:gs pos="0">
                  <a:schemeClr val="accent2">
                    <a:lumMod val="70000"/>
                    <a:lumOff val="30000"/>
                  </a:schemeClr>
                </a:gs>
                <a:gs pos="100000">
                  <a:schemeClr val="accent2">
                    <a:lumMod val="70000"/>
                    <a:lumOff val="3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болници.xlsx]Sheet1'!$AM$8:$AM$76</c:f>
            </c:numRef>
          </c:val>
          <c:extLst>
            <c:ext xmlns:c16="http://schemas.microsoft.com/office/drawing/2014/chart" uri="{C3380CC4-5D6E-409C-BE32-E72D297353CC}">
              <c16:uniqueId val="{00000025-EDF8-4045-9BE6-1C819A01270C}"/>
            </c:ext>
          </c:extLst>
        </c:ser>
        <c:ser>
          <c:idx val="38"/>
          <c:order val="38"/>
          <c:spPr>
            <a:gradFill>
              <a:gsLst>
                <a:gs pos="0">
                  <a:schemeClr val="accent3">
                    <a:lumMod val="70000"/>
                    <a:lumOff val="30000"/>
                  </a:schemeClr>
                </a:gs>
                <a:gs pos="100000">
                  <a:schemeClr val="accent3">
                    <a:lumMod val="70000"/>
                    <a:lumOff val="3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болници.xlsx]Sheet1'!$AN$8:$AN$76</c:f>
            </c:numRef>
          </c:val>
          <c:extLst>
            <c:ext xmlns:c16="http://schemas.microsoft.com/office/drawing/2014/chart" uri="{C3380CC4-5D6E-409C-BE32-E72D297353CC}">
              <c16:uniqueId val="{00000026-EDF8-4045-9BE6-1C819A01270C}"/>
            </c:ext>
          </c:extLst>
        </c:ser>
        <c:ser>
          <c:idx val="39"/>
          <c:order val="39"/>
          <c:spPr>
            <a:gradFill>
              <a:gsLst>
                <a:gs pos="0">
                  <a:schemeClr val="accent4">
                    <a:lumMod val="70000"/>
                    <a:lumOff val="30000"/>
                  </a:schemeClr>
                </a:gs>
                <a:gs pos="100000">
                  <a:schemeClr val="accent4">
                    <a:lumMod val="70000"/>
                    <a:lumOff val="3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болници.xlsx]Sheet1'!$AO$8:$AO$76</c:f>
            </c:numRef>
          </c:val>
          <c:extLst>
            <c:ext xmlns:c16="http://schemas.microsoft.com/office/drawing/2014/chart" uri="{C3380CC4-5D6E-409C-BE32-E72D297353CC}">
              <c16:uniqueId val="{00000027-EDF8-4045-9BE6-1C819A01270C}"/>
            </c:ext>
          </c:extLst>
        </c:ser>
        <c:ser>
          <c:idx val="40"/>
          <c:order val="40"/>
          <c:spPr>
            <a:gradFill>
              <a:gsLst>
                <a:gs pos="0">
                  <a:schemeClr val="accent5">
                    <a:lumMod val="70000"/>
                    <a:lumOff val="30000"/>
                  </a:schemeClr>
                </a:gs>
                <a:gs pos="100000">
                  <a:schemeClr val="accent5">
                    <a:lumMod val="70000"/>
                    <a:lumOff val="3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болници.xlsx]Sheet1'!$AP$8:$AP$76</c:f>
            </c:numRef>
          </c:val>
          <c:extLst>
            <c:ext xmlns:c16="http://schemas.microsoft.com/office/drawing/2014/chart" uri="{C3380CC4-5D6E-409C-BE32-E72D297353CC}">
              <c16:uniqueId val="{00000028-EDF8-4045-9BE6-1C819A01270C}"/>
            </c:ext>
          </c:extLst>
        </c:ser>
        <c:ser>
          <c:idx val="41"/>
          <c:order val="41"/>
          <c:spPr>
            <a:gradFill>
              <a:gsLst>
                <a:gs pos="0">
                  <a:schemeClr val="accent6">
                    <a:lumMod val="70000"/>
                    <a:lumOff val="30000"/>
                  </a:schemeClr>
                </a:gs>
                <a:gs pos="100000">
                  <a:schemeClr val="accent6">
                    <a:lumMod val="70000"/>
                    <a:lumOff val="3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болници.xlsx]Sheet1'!$AQ$8:$AQ$76</c:f>
            </c:numRef>
          </c:val>
          <c:extLst>
            <c:ext xmlns:c16="http://schemas.microsoft.com/office/drawing/2014/chart" uri="{C3380CC4-5D6E-409C-BE32-E72D297353CC}">
              <c16:uniqueId val="{00000029-EDF8-4045-9BE6-1C819A01270C}"/>
            </c:ext>
          </c:extLst>
        </c:ser>
        <c:ser>
          <c:idx val="42"/>
          <c:order val="42"/>
          <c:spPr>
            <a:gradFill>
              <a:gsLst>
                <a:gs pos="0">
                  <a:schemeClr val="accent1">
                    <a:lumMod val="70000"/>
                  </a:schemeClr>
                </a:gs>
                <a:gs pos="100000">
                  <a:schemeClr val="accent1">
                    <a:lumMod val="700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'[Общ. болници.xlsx]Sheet1'!$A$8:$A$76</c:f>
              <c:strCache>
                <c:ptCount val="33"/>
                <c:pt idx="0">
                  <c:v>МБАЛ  Карнобат  ЕООД</c:v>
                </c:pt>
                <c:pt idx="1">
                  <c:v>МБАЛ Айтос  ЕООД</c:v>
                </c:pt>
                <c:pt idx="2">
                  <c:v>МБАЛ Поморие  ЕООД</c:v>
                </c:pt>
                <c:pt idx="3">
                  <c:v>МБАЛ Средец  ЕООД</c:v>
                </c:pt>
                <c:pt idx="4">
                  <c:v>МБАЛ  Царица Йоанна ЕООД Провадия</c:v>
                </c:pt>
                <c:pt idx="5">
                  <c:v>МБАЛ  Девня ЕООД</c:v>
                </c:pt>
                <c:pt idx="6">
                  <c:v>МБАЛ Проф. д-р Г. Златарски ЕООД Белоградчик</c:v>
                </c:pt>
                <c:pt idx="7">
                  <c:v>МБАЛ Св. Иван Рилски ЕООД Козлодуй </c:v>
                </c:pt>
                <c:pt idx="8">
                  <c:v>МБАЛ Д-р Теодоси Витанов ЕООД Габрово</c:v>
                </c:pt>
                <c:pt idx="9">
                  <c:v>МБАЛ Каварна ЕООД </c:v>
                </c:pt>
                <c:pt idx="10">
                  <c:v>МБАЛ Балчик ЕООД </c:v>
                </c:pt>
                <c:pt idx="11">
                  <c:v>МБАЛ Д-р С. Ростовцев ЕООД Момчилград</c:v>
                </c:pt>
                <c:pt idx="12">
                  <c:v>МБАЛ  Живот+ ЕООД  Крумовград</c:v>
                </c:pt>
                <c:pt idx="13">
                  <c:v>МБАЛ Ардино ЕООД</c:v>
                </c:pt>
                <c:pt idx="14">
                  <c:v>МБАЛ Тетевен </c:v>
                </c:pt>
                <c:pt idx="15">
                  <c:v>МБАЛ Луковит </c:v>
                </c:pt>
                <c:pt idx="16">
                  <c:v>МБАЛ ЕООД гр. Берковица Монтана</c:v>
                </c:pt>
                <c:pt idx="17">
                  <c:v>МБАЛ  Левски ЕООД</c:v>
                </c:pt>
                <c:pt idx="18">
                  <c:v>МБАЛ  Никопол ЕООД</c:v>
                </c:pt>
                <c:pt idx="19">
                  <c:v>МБАЛ Червен бряг ЕООД</c:v>
                </c:pt>
                <c:pt idx="20">
                  <c:v>МБАЛ  Гулянци ЕООД</c:v>
                </c:pt>
                <c:pt idx="21">
                  <c:v>МБАЛ Белене ЕООД</c:v>
                </c:pt>
                <c:pt idx="22">
                  <c:v>МБАЛ Св.Петка българска- Нова Загора ЕООД</c:v>
                </c:pt>
                <c:pt idx="23">
                  <c:v>МБАЛПроф. д-р Асен ШоповЕООД Златоград</c:v>
                </c:pt>
                <c:pt idx="24">
                  <c:v>МБАЛ Девин ЕАД </c:v>
                </c:pt>
                <c:pt idx="25">
                  <c:v>Четвърта МБАЛ  София  ЕАД</c:v>
                </c:pt>
                <c:pt idx="26">
                  <c:v>МБАЛ Елин Пелин ЕООД</c:v>
                </c:pt>
                <c:pt idx="27">
                  <c:v>МБАЛ Проф. д-р  Ал. Герчев Етрополе ЕООД</c:v>
                </c:pt>
                <c:pt idx="28">
                  <c:v>МБАЛ Своге ЕООД</c:v>
                </c:pt>
                <c:pt idx="29">
                  <c:v>МБАЛ Пирдоп АД</c:v>
                </c:pt>
                <c:pt idx="30">
                  <c:v>МБАЛ Гълъбово ЕАД</c:v>
                </c:pt>
                <c:pt idx="31">
                  <c:v>МБАЛ Велики Преслав ЕООД</c:v>
                </c:pt>
                <c:pt idx="32">
                  <c:v>МБАЛ Св. Иван Рилски ЕООД Елхово</c:v>
                </c:pt>
              </c:strCache>
            </c:strRef>
          </c:cat>
          <c:val>
            <c:numRef>
              <c:f>'[Общ. болници.xlsx]Sheet1'!$AR$8:$AR$76</c:f>
              <c:numCache>
                <c:formatCode>#,##0</c:formatCode>
                <c:ptCount val="33"/>
                <c:pt idx="0">
                  <c:v>2389</c:v>
                </c:pt>
                <c:pt idx="1">
                  <c:v>2062</c:v>
                </c:pt>
                <c:pt idx="2">
                  <c:v>1404</c:v>
                </c:pt>
                <c:pt idx="3" formatCode="General">
                  <c:v>807</c:v>
                </c:pt>
                <c:pt idx="4">
                  <c:v>1653</c:v>
                </c:pt>
                <c:pt idx="5" formatCode="General">
                  <c:v>160</c:v>
                </c:pt>
                <c:pt idx="6" formatCode="General">
                  <c:v>641</c:v>
                </c:pt>
                <c:pt idx="7">
                  <c:v>2543</c:v>
                </c:pt>
                <c:pt idx="8">
                  <c:v>1435</c:v>
                </c:pt>
                <c:pt idx="9">
                  <c:v>1009</c:v>
                </c:pt>
                <c:pt idx="10">
                  <c:v>2149</c:v>
                </c:pt>
                <c:pt idx="11">
                  <c:v>1808</c:v>
                </c:pt>
                <c:pt idx="12" formatCode="General">
                  <c:v>948</c:v>
                </c:pt>
                <c:pt idx="13">
                  <c:v>1122</c:v>
                </c:pt>
                <c:pt idx="14">
                  <c:v>2250</c:v>
                </c:pt>
                <c:pt idx="15">
                  <c:v>1809</c:v>
                </c:pt>
                <c:pt idx="16">
                  <c:v>1955</c:v>
                </c:pt>
                <c:pt idx="17">
                  <c:v>2378</c:v>
                </c:pt>
                <c:pt idx="18" formatCode="General">
                  <c:v>564</c:v>
                </c:pt>
                <c:pt idx="19">
                  <c:v>2442</c:v>
                </c:pt>
                <c:pt idx="20">
                  <c:v>1856</c:v>
                </c:pt>
                <c:pt idx="21">
                  <c:v>1539</c:v>
                </c:pt>
                <c:pt idx="22">
                  <c:v>2043</c:v>
                </c:pt>
                <c:pt idx="23">
                  <c:v>2171</c:v>
                </c:pt>
                <c:pt idx="24">
                  <c:v>1554</c:v>
                </c:pt>
                <c:pt idx="25">
                  <c:v>3082</c:v>
                </c:pt>
                <c:pt idx="26">
                  <c:v>1743</c:v>
                </c:pt>
                <c:pt idx="27">
                  <c:v>2548</c:v>
                </c:pt>
                <c:pt idx="28">
                  <c:v>2355</c:v>
                </c:pt>
                <c:pt idx="29">
                  <c:v>2022</c:v>
                </c:pt>
                <c:pt idx="30">
                  <c:v>2566</c:v>
                </c:pt>
                <c:pt idx="31">
                  <c:v>1275</c:v>
                </c:pt>
                <c:pt idx="32">
                  <c:v>1056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EDF8-4045-9BE6-1C819A01270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92147816"/>
        <c:axId val="492148472"/>
      </c:barChart>
      <c:catAx>
        <c:axId val="492147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2148472"/>
        <c:crosses val="autoZero"/>
        <c:auto val="1"/>
        <c:lblAlgn val="ctr"/>
        <c:lblOffset val="100"/>
        <c:noMultiLvlLbl val="0"/>
      </c:catAx>
      <c:valAx>
        <c:axId val="49214847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92147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6CED-3B73-44E5-A025-6BF44D5A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5970</Words>
  <Characters>34034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Koleva</dc:creator>
  <cp:keywords/>
  <dc:description/>
  <cp:lastModifiedBy>Madlena I. Dalkalacheva</cp:lastModifiedBy>
  <cp:revision>2</cp:revision>
  <cp:lastPrinted>2025-06-18T20:19:00Z</cp:lastPrinted>
  <dcterms:created xsi:type="dcterms:W3CDTF">2025-06-19T13:01:00Z</dcterms:created>
  <dcterms:modified xsi:type="dcterms:W3CDTF">2025-06-19T13:01:00Z</dcterms:modified>
</cp:coreProperties>
</file>