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F57" w:rsidRPr="005478BC" w:rsidRDefault="00384F57" w:rsidP="00FC1BA1">
      <w:pPr>
        <w:spacing w:after="0" w:line="480" w:lineRule="auto"/>
        <w:ind w:left="-426" w:firstLine="708"/>
        <w:jc w:val="center"/>
        <w:rPr>
          <w:rFonts w:ascii="Times New Roman" w:eastAsia="Times New Roman" w:hAnsi="Times New Roman" w:cs="Times New Roman"/>
          <w:b/>
          <w:sz w:val="28"/>
          <w:szCs w:val="24"/>
          <w:lang w:val="bg-BG" w:eastAsia="bg-BG"/>
        </w:rPr>
      </w:pPr>
      <w:r w:rsidRPr="00386CAF">
        <w:rPr>
          <w:rFonts w:ascii="Times New Roman" w:eastAsia="Times New Roman" w:hAnsi="Times New Roman" w:cs="Times New Roman"/>
          <w:b/>
          <w:sz w:val="28"/>
          <w:szCs w:val="24"/>
          <w:lang w:val="bg-BG" w:eastAsia="bg-BG"/>
        </w:rPr>
        <w:t>АНАЛИЗ НА Д-Р СИМЕОН ДЯНКОВ</w:t>
      </w:r>
    </w:p>
    <w:p w:rsidR="005478BC" w:rsidRPr="005478BC" w:rsidRDefault="005478BC" w:rsidP="005478BC">
      <w:pPr>
        <w:spacing w:line="240" w:lineRule="auto"/>
        <w:jc w:val="center"/>
        <w:rPr>
          <w:rFonts w:ascii="Times New Roman" w:eastAsia="Calibri" w:hAnsi="Times New Roman" w:cs="Times New Roman"/>
          <w:b/>
          <w:bCs/>
          <w:sz w:val="24"/>
          <w:szCs w:val="24"/>
        </w:rPr>
      </w:pPr>
      <w:r w:rsidRPr="005478BC">
        <w:rPr>
          <w:rFonts w:ascii="Times New Roman" w:eastAsia="Calibri" w:hAnsi="Times New Roman" w:cs="Times New Roman"/>
          <w:b/>
          <w:bCs/>
          <w:sz w:val="24"/>
          <w:szCs w:val="24"/>
          <w:lang w:val="bg-BG"/>
        </w:rPr>
        <w:t xml:space="preserve">Кои членове на ЕС налагат данъци върху свръхпечалбата на </w:t>
      </w:r>
      <w:bookmarkStart w:id="0" w:name="_GoBack"/>
      <w:bookmarkEnd w:id="0"/>
      <w:r w:rsidRPr="005478BC">
        <w:rPr>
          <w:rFonts w:ascii="Times New Roman" w:eastAsia="Calibri" w:hAnsi="Times New Roman" w:cs="Times New Roman"/>
          <w:b/>
          <w:bCs/>
          <w:sz w:val="24"/>
          <w:szCs w:val="24"/>
          <w:lang w:val="bg-BG"/>
        </w:rPr>
        <w:t>банките и как функционират тези данъци</w:t>
      </w:r>
    </w:p>
    <w:p w:rsidR="005478BC" w:rsidRPr="005478BC" w:rsidRDefault="005478BC" w:rsidP="005478BC">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5478BC">
        <w:rPr>
          <w:rFonts w:ascii="Times New Roman" w:eastAsia="Times New Roman" w:hAnsi="Times New Roman" w:cs="Times New Roman"/>
          <w:sz w:val="24"/>
          <w:szCs w:val="24"/>
          <w:lang w:val="bg-BG"/>
        </w:rPr>
        <w:t>Една четвърт от държавите членки на ЕС са въвели данъци върху свръхпечалбата на банките, а във Франция, Германия, Нидерландия, Белгия и Швеция има и допълнителни данъци върху банковия сектор като вноски в секторните резервни фондове. “Рисковият данък“ на Швеция (0,06% от банковите пасиви) е допълнителен данък, налаган на големите банки и кредитни институции, по-специално на тези, чиито задължения надхвърлят определен праг.</w:t>
      </w:r>
    </w:p>
    <w:p w:rsidR="005478BC" w:rsidRPr="005478BC" w:rsidRDefault="005478BC" w:rsidP="005478BC">
      <w:pPr>
        <w:spacing w:before="100" w:beforeAutospacing="1" w:after="0" w:line="240" w:lineRule="auto"/>
        <w:outlineLvl w:val="1"/>
        <w:rPr>
          <w:rFonts w:ascii="Times New Roman" w:eastAsia="Times New Roman" w:hAnsi="Times New Roman" w:cs="Times New Roman"/>
          <w:b/>
          <w:sz w:val="24"/>
          <w:szCs w:val="24"/>
          <w:lang w:val="bg-BG"/>
        </w:rPr>
      </w:pPr>
      <w:r w:rsidRPr="005478BC">
        <w:rPr>
          <w:rFonts w:ascii="Times New Roman" w:eastAsia="Times New Roman" w:hAnsi="Times New Roman" w:cs="Times New Roman"/>
          <w:b/>
          <w:sz w:val="24"/>
          <w:szCs w:val="24"/>
          <w:lang w:val="bg-BG"/>
        </w:rPr>
        <w:t>Общи характеристики</w:t>
      </w:r>
    </w:p>
    <w:p w:rsidR="005478BC" w:rsidRPr="005478BC" w:rsidRDefault="005478BC" w:rsidP="005478BC">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5478BC">
        <w:rPr>
          <w:rFonts w:ascii="Times New Roman" w:eastAsia="Times New Roman" w:hAnsi="Times New Roman" w:cs="Times New Roman"/>
          <w:sz w:val="24"/>
          <w:szCs w:val="24"/>
          <w:lang w:val="bg-BG"/>
        </w:rPr>
        <w:t>С цел облекчаване на инфлацията, държави-членки, предимно от Централна и Югоизточна Европа въведоха данъци върху свръхпечалбата и неочакваните приходи - Италия, Унгария, Словакия, Испания или пакети от разходи за отбрана - Чехия, Латвия и Литва</w:t>
      </w:r>
      <w:r w:rsidR="00C179EE">
        <w:rPr>
          <w:rFonts w:ascii="Times New Roman" w:eastAsia="Times New Roman" w:hAnsi="Times New Roman" w:cs="Times New Roman"/>
          <w:sz w:val="24"/>
          <w:szCs w:val="24"/>
          <w:lang w:val="bg-BG"/>
        </w:rPr>
        <w:t>, което също намирам за добро решение</w:t>
      </w:r>
      <w:r w:rsidRPr="005478BC">
        <w:rPr>
          <w:rFonts w:ascii="Times New Roman" w:eastAsia="Times New Roman" w:hAnsi="Times New Roman" w:cs="Times New Roman"/>
          <w:sz w:val="24"/>
          <w:szCs w:val="24"/>
          <w:lang w:val="bg-BG"/>
        </w:rPr>
        <w:t>.</w:t>
      </w:r>
    </w:p>
    <w:p w:rsidR="005478BC" w:rsidRPr="005478BC" w:rsidRDefault="005478BC" w:rsidP="005478BC">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5478BC">
        <w:rPr>
          <w:rFonts w:ascii="Times New Roman" w:eastAsia="Times New Roman" w:hAnsi="Times New Roman" w:cs="Times New Roman"/>
          <w:sz w:val="24"/>
          <w:szCs w:val="24"/>
          <w:lang w:val="bg-BG"/>
        </w:rPr>
        <w:t>Дори когато срокът на наложените мерки върху свръхпечалбата на банките изтича след 2025 или 2027 г., бъдещи бюджетни предизвикателства, като например увеличените разходи за отбрана, могат да доведат до удължаване или повторно активиране на срока им.</w:t>
      </w:r>
    </w:p>
    <w:p w:rsidR="005478BC" w:rsidRPr="005478BC" w:rsidRDefault="005478BC" w:rsidP="005478BC">
      <w:pPr>
        <w:spacing w:before="100" w:beforeAutospacing="1" w:after="100" w:afterAutospacing="1" w:line="240" w:lineRule="auto"/>
        <w:jc w:val="both"/>
        <w:rPr>
          <w:rFonts w:ascii="Times New Roman" w:eastAsia="Times New Roman" w:hAnsi="Times New Roman" w:cs="Times New Roman"/>
          <w:i/>
          <w:sz w:val="20"/>
          <w:szCs w:val="24"/>
          <w:lang w:val="bg-BG"/>
        </w:rPr>
      </w:pPr>
    </w:p>
    <w:tbl>
      <w:tblPr>
        <w:tblStyle w:val="GridTable1Light-Accent11"/>
        <w:tblpPr w:leftFromText="180" w:rightFromText="180" w:vertAnchor="text" w:horzAnchor="margin" w:tblpX="-714" w:tblpY="-244"/>
        <w:tblW w:w="5837" w:type="pct"/>
        <w:tblLook w:val="04A0" w:firstRow="1" w:lastRow="0" w:firstColumn="1" w:lastColumn="0" w:noHBand="0" w:noVBand="1"/>
      </w:tblPr>
      <w:tblGrid>
        <w:gridCol w:w="1340"/>
        <w:gridCol w:w="3347"/>
        <w:gridCol w:w="3044"/>
        <w:gridCol w:w="1140"/>
        <w:gridCol w:w="2369"/>
      </w:tblGrid>
      <w:tr w:rsidR="005478BC" w:rsidRPr="005478BC" w:rsidTr="003D1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pct"/>
            <w:hideMark/>
          </w:tcPr>
          <w:p w:rsidR="005478BC" w:rsidRPr="005478BC" w:rsidRDefault="005478BC" w:rsidP="005478BC">
            <w:pPr>
              <w:jc w:val="center"/>
              <w:rPr>
                <w:rFonts w:ascii="Times New Roman" w:hAnsi="Times New Roman"/>
                <w:szCs w:val="24"/>
                <w:lang w:val="bg-BG"/>
              </w:rPr>
            </w:pPr>
            <w:r w:rsidRPr="005478BC">
              <w:rPr>
                <w:rFonts w:ascii="Times New Roman" w:hAnsi="Times New Roman"/>
                <w:szCs w:val="24"/>
                <w:lang w:val="bg-BG"/>
              </w:rPr>
              <w:t>Държава</w:t>
            </w:r>
          </w:p>
        </w:tc>
        <w:tc>
          <w:tcPr>
            <w:tcW w:w="1489" w:type="pct"/>
            <w:hideMark/>
          </w:tcPr>
          <w:p w:rsidR="005478BC" w:rsidRPr="005478BC" w:rsidRDefault="005478BC" w:rsidP="005478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Механизъм</w:t>
            </w:r>
          </w:p>
        </w:tc>
        <w:tc>
          <w:tcPr>
            <w:tcW w:w="1354" w:type="pct"/>
            <w:hideMark/>
          </w:tcPr>
          <w:p w:rsidR="005478BC" w:rsidRPr="005478BC" w:rsidRDefault="005478BC" w:rsidP="005478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Стойност и база</w:t>
            </w:r>
          </w:p>
        </w:tc>
        <w:tc>
          <w:tcPr>
            <w:tcW w:w="507" w:type="pct"/>
            <w:hideMark/>
          </w:tcPr>
          <w:p w:rsidR="005478BC" w:rsidRPr="005478BC" w:rsidRDefault="005478BC" w:rsidP="005478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Време</w:t>
            </w:r>
          </w:p>
        </w:tc>
        <w:tc>
          <w:tcPr>
            <w:tcW w:w="1054" w:type="pct"/>
            <w:hideMark/>
          </w:tcPr>
          <w:p w:rsidR="005478BC" w:rsidRPr="005478BC" w:rsidRDefault="005478BC" w:rsidP="005478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Други характеристики</w:t>
            </w:r>
          </w:p>
        </w:tc>
      </w:tr>
      <w:tr w:rsidR="005478BC" w:rsidRPr="005478BC" w:rsidTr="003D1253">
        <w:tc>
          <w:tcPr>
            <w:cnfStyle w:val="001000000000" w:firstRow="0" w:lastRow="0" w:firstColumn="1" w:lastColumn="0" w:oddVBand="0" w:evenVBand="0" w:oddHBand="0" w:evenHBand="0" w:firstRowFirstColumn="0" w:firstRowLastColumn="0" w:lastRowFirstColumn="0" w:lastRowLastColumn="0"/>
            <w:tcW w:w="596" w:type="pct"/>
            <w:hideMark/>
          </w:tcPr>
          <w:p w:rsidR="005478BC" w:rsidRPr="005478BC" w:rsidRDefault="005478BC" w:rsidP="005478BC">
            <w:pPr>
              <w:rPr>
                <w:rFonts w:ascii="Times New Roman" w:hAnsi="Times New Roman"/>
                <w:szCs w:val="24"/>
                <w:lang w:val="bg-BG"/>
              </w:rPr>
            </w:pPr>
            <w:r w:rsidRPr="005478BC">
              <w:rPr>
                <w:rFonts w:ascii="Times New Roman" w:hAnsi="Times New Roman"/>
                <w:szCs w:val="24"/>
                <w:lang w:val="bg-BG"/>
              </w:rPr>
              <w:t>Испания</w:t>
            </w:r>
          </w:p>
        </w:tc>
        <w:tc>
          <w:tcPr>
            <w:tcW w:w="1489"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Данък върху брутния марж, след като той надвиши 800 милиона евро</w:t>
            </w:r>
          </w:p>
        </w:tc>
        <w:tc>
          <w:tcPr>
            <w:tcW w:w="1354"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4,8% през 2023-24 г.; от 2025-27 г. се променя в диапазон от 1 до 7%, обвързан с обема на кредитирането.</w:t>
            </w:r>
          </w:p>
        </w:tc>
        <w:tc>
          <w:tcPr>
            <w:tcW w:w="507"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2023-27</w:t>
            </w:r>
          </w:p>
        </w:tc>
        <w:tc>
          <w:tcPr>
            <w:tcW w:w="1054"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Предназначени за облекчаване на инфлацията</w:t>
            </w:r>
          </w:p>
        </w:tc>
      </w:tr>
      <w:tr w:rsidR="005478BC" w:rsidRPr="005478BC" w:rsidTr="003D1253">
        <w:tc>
          <w:tcPr>
            <w:cnfStyle w:val="001000000000" w:firstRow="0" w:lastRow="0" w:firstColumn="1" w:lastColumn="0" w:oddVBand="0" w:evenVBand="0" w:oddHBand="0" w:evenHBand="0" w:firstRowFirstColumn="0" w:firstRowLastColumn="0" w:lastRowFirstColumn="0" w:lastRowLastColumn="0"/>
            <w:tcW w:w="596" w:type="pct"/>
            <w:hideMark/>
          </w:tcPr>
          <w:p w:rsidR="005478BC" w:rsidRPr="005478BC" w:rsidRDefault="005478BC" w:rsidP="005478BC">
            <w:pPr>
              <w:rPr>
                <w:rFonts w:ascii="Times New Roman" w:hAnsi="Times New Roman"/>
                <w:szCs w:val="24"/>
                <w:lang w:val="bg-BG"/>
              </w:rPr>
            </w:pPr>
            <w:r w:rsidRPr="005478BC">
              <w:rPr>
                <w:rFonts w:ascii="Times New Roman" w:hAnsi="Times New Roman"/>
                <w:szCs w:val="24"/>
                <w:lang w:val="bg-BG"/>
              </w:rPr>
              <w:t>Италия</w:t>
            </w:r>
          </w:p>
        </w:tc>
        <w:tc>
          <w:tcPr>
            <w:tcW w:w="1489"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Данък върху годишното увеличение на нетния лихвен марж спрямо 2021 г.</w:t>
            </w:r>
          </w:p>
        </w:tc>
        <w:tc>
          <w:tcPr>
            <w:tcW w:w="1354"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 xml:space="preserve">40% от излишния </w:t>
            </w:r>
            <w:r w:rsidRPr="005478BC">
              <w:rPr>
                <w:lang w:val="bg-BG"/>
              </w:rPr>
              <w:t xml:space="preserve"> </w:t>
            </w:r>
            <w:r w:rsidRPr="005478BC">
              <w:rPr>
                <w:rFonts w:ascii="Times New Roman" w:hAnsi="Times New Roman"/>
                <w:szCs w:val="24"/>
                <w:lang w:val="bg-BG"/>
              </w:rPr>
              <w:t>нетен доход, след като той се повиши с &gt; 5% (2022 г.) или &gt; 10% (2023-2025 г.)</w:t>
            </w:r>
          </w:p>
        </w:tc>
        <w:tc>
          <w:tcPr>
            <w:tcW w:w="507"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2023-25</w:t>
            </w:r>
          </w:p>
        </w:tc>
        <w:tc>
          <w:tcPr>
            <w:tcW w:w="1054"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Предназначени за облекчаване на инфлацията</w:t>
            </w:r>
          </w:p>
        </w:tc>
      </w:tr>
      <w:tr w:rsidR="005478BC" w:rsidRPr="005478BC" w:rsidTr="003D1253">
        <w:tc>
          <w:tcPr>
            <w:cnfStyle w:val="001000000000" w:firstRow="0" w:lastRow="0" w:firstColumn="1" w:lastColumn="0" w:oddVBand="0" w:evenVBand="0" w:oddHBand="0" w:evenHBand="0" w:firstRowFirstColumn="0" w:firstRowLastColumn="0" w:lastRowFirstColumn="0" w:lastRowLastColumn="0"/>
            <w:tcW w:w="596" w:type="pct"/>
            <w:hideMark/>
          </w:tcPr>
          <w:p w:rsidR="005478BC" w:rsidRPr="005478BC" w:rsidRDefault="005478BC" w:rsidP="005478BC">
            <w:pPr>
              <w:rPr>
                <w:rFonts w:ascii="Times New Roman" w:hAnsi="Times New Roman"/>
                <w:szCs w:val="24"/>
                <w:lang w:val="bg-BG"/>
              </w:rPr>
            </w:pPr>
            <w:r w:rsidRPr="005478BC">
              <w:rPr>
                <w:rFonts w:ascii="Times New Roman" w:hAnsi="Times New Roman"/>
                <w:szCs w:val="24"/>
                <w:lang w:val="bg-BG"/>
              </w:rPr>
              <w:t>Чехия</w:t>
            </w:r>
          </w:p>
        </w:tc>
        <w:tc>
          <w:tcPr>
            <w:tcW w:w="1489"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 xml:space="preserve">Допълване на корпоративния данък върху печалбите </w:t>
            </w:r>
            <w:r w:rsidRPr="005478BC">
              <w:rPr>
                <w:lang w:val="bg-BG"/>
              </w:rPr>
              <w:t xml:space="preserve"> </w:t>
            </w:r>
            <w:r w:rsidRPr="005478BC">
              <w:rPr>
                <w:rFonts w:ascii="Times New Roman" w:hAnsi="Times New Roman"/>
                <w:szCs w:val="24"/>
                <w:lang w:val="bg-BG"/>
              </w:rPr>
              <w:t>на банките</w:t>
            </w:r>
          </w:p>
        </w:tc>
        <w:tc>
          <w:tcPr>
            <w:tcW w:w="1354"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60% от печалбите над 120% от средната стойност за 2018-2021 г.</w:t>
            </w:r>
          </w:p>
        </w:tc>
        <w:tc>
          <w:tcPr>
            <w:tcW w:w="507"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2023-25</w:t>
            </w:r>
          </w:p>
        </w:tc>
        <w:tc>
          <w:tcPr>
            <w:tcW w:w="1054"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Предназначени за разходи за отбрана</w:t>
            </w:r>
          </w:p>
        </w:tc>
      </w:tr>
      <w:tr w:rsidR="005478BC" w:rsidRPr="005478BC" w:rsidTr="003D1253">
        <w:tc>
          <w:tcPr>
            <w:cnfStyle w:val="001000000000" w:firstRow="0" w:lastRow="0" w:firstColumn="1" w:lastColumn="0" w:oddVBand="0" w:evenVBand="0" w:oddHBand="0" w:evenHBand="0" w:firstRowFirstColumn="0" w:firstRowLastColumn="0" w:lastRowFirstColumn="0" w:lastRowLastColumn="0"/>
            <w:tcW w:w="596" w:type="pct"/>
            <w:hideMark/>
          </w:tcPr>
          <w:p w:rsidR="005478BC" w:rsidRPr="005478BC" w:rsidRDefault="005478BC" w:rsidP="005478BC">
            <w:pPr>
              <w:rPr>
                <w:rFonts w:ascii="Times New Roman" w:hAnsi="Times New Roman"/>
                <w:szCs w:val="24"/>
                <w:lang w:val="bg-BG"/>
              </w:rPr>
            </w:pPr>
            <w:r w:rsidRPr="005478BC">
              <w:rPr>
                <w:rFonts w:ascii="Times New Roman" w:hAnsi="Times New Roman"/>
                <w:szCs w:val="24"/>
                <w:lang w:val="bg-BG"/>
              </w:rPr>
              <w:t>Литва</w:t>
            </w:r>
          </w:p>
        </w:tc>
        <w:tc>
          <w:tcPr>
            <w:tcW w:w="1489"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60% такса върху 50% от нетния доход, който е &gt; 50% над средния за предходните четири години</w:t>
            </w:r>
          </w:p>
        </w:tc>
        <w:tc>
          <w:tcPr>
            <w:tcW w:w="1354"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Ефективна лихва: 30% от „излишния“ нетен лихвен доход</w:t>
            </w:r>
          </w:p>
        </w:tc>
        <w:tc>
          <w:tcPr>
            <w:tcW w:w="507"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2023-25</w:t>
            </w:r>
          </w:p>
        </w:tc>
        <w:tc>
          <w:tcPr>
            <w:tcW w:w="1054"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Предназначени за разходи за отбрана</w:t>
            </w:r>
          </w:p>
        </w:tc>
      </w:tr>
      <w:tr w:rsidR="005478BC" w:rsidRPr="005478BC" w:rsidTr="003D1253">
        <w:tc>
          <w:tcPr>
            <w:cnfStyle w:val="001000000000" w:firstRow="0" w:lastRow="0" w:firstColumn="1" w:lastColumn="0" w:oddVBand="0" w:evenVBand="0" w:oddHBand="0" w:evenHBand="0" w:firstRowFirstColumn="0" w:firstRowLastColumn="0" w:lastRowFirstColumn="0" w:lastRowLastColumn="0"/>
            <w:tcW w:w="596" w:type="pct"/>
            <w:hideMark/>
          </w:tcPr>
          <w:p w:rsidR="005478BC" w:rsidRPr="005478BC" w:rsidRDefault="005478BC" w:rsidP="005478BC">
            <w:pPr>
              <w:rPr>
                <w:rFonts w:ascii="Times New Roman" w:hAnsi="Times New Roman"/>
                <w:szCs w:val="24"/>
                <w:lang w:val="bg-BG"/>
              </w:rPr>
            </w:pPr>
            <w:r w:rsidRPr="005478BC">
              <w:rPr>
                <w:rFonts w:ascii="Times New Roman" w:hAnsi="Times New Roman"/>
                <w:szCs w:val="24"/>
                <w:lang w:val="bg-BG"/>
              </w:rPr>
              <w:t>Унгария</w:t>
            </w:r>
          </w:p>
        </w:tc>
        <w:tc>
          <w:tcPr>
            <w:tcW w:w="1489"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Данък върху коригираната печалба преди данъчно облагане</w:t>
            </w:r>
          </w:p>
        </w:tc>
        <w:tc>
          <w:tcPr>
            <w:tcW w:w="1354"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7% върху първите 20 милиарда форинта, с 18% повече; основата е печалбата за 2023 г.</w:t>
            </w:r>
          </w:p>
        </w:tc>
        <w:tc>
          <w:tcPr>
            <w:tcW w:w="507"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2024-25</w:t>
            </w:r>
          </w:p>
        </w:tc>
        <w:tc>
          <w:tcPr>
            <w:tcW w:w="1054"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До 50% кредит, ако банката закупи облигации</w:t>
            </w:r>
          </w:p>
        </w:tc>
      </w:tr>
      <w:tr w:rsidR="005478BC" w:rsidRPr="005478BC" w:rsidTr="003D1253">
        <w:tc>
          <w:tcPr>
            <w:cnfStyle w:val="001000000000" w:firstRow="0" w:lastRow="0" w:firstColumn="1" w:lastColumn="0" w:oddVBand="0" w:evenVBand="0" w:oddHBand="0" w:evenHBand="0" w:firstRowFirstColumn="0" w:firstRowLastColumn="0" w:lastRowFirstColumn="0" w:lastRowLastColumn="0"/>
            <w:tcW w:w="596" w:type="pct"/>
            <w:hideMark/>
          </w:tcPr>
          <w:p w:rsidR="005478BC" w:rsidRPr="005478BC" w:rsidRDefault="005478BC" w:rsidP="005478BC">
            <w:pPr>
              <w:rPr>
                <w:rFonts w:ascii="Times New Roman" w:hAnsi="Times New Roman"/>
                <w:szCs w:val="24"/>
                <w:lang w:val="bg-BG"/>
              </w:rPr>
            </w:pPr>
            <w:r w:rsidRPr="005478BC">
              <w:rPr>
                <w:rFonts w:ascii="Times New Roman" w:hAnsi="Times New Roman"/>
                <w:szCs w:val="24"/>
                <w:lang w:val="bg-BG"/>
              </w:rPr>
              <w:t>Словакия</w:t>
            </w:r>
          </w:p>
        </w:tc>
        <w:tc>
          <w:tcPr>
            <w:tcW w:w="1489"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Данък върху доходите на банките върху всички банкови печалби</w:t>
            </w:r>
          </w:p>
        </w:tc>
        <w:tc>
          <w:tcPr>
            <w:tcW w:w="1354"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30% през 2024 г., след което пада с 5 процентни пункта годишно до 15% до 2027 г.</w:t>
            </w:r>
          </w:p>
        </w:tc>
        <w:tc>
          <w:tcPr>
            <w:tcW w:w="507"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2024-27</w:t>
            </w:r>
          </w:p>
        </w:tc>
        <w:tc>
          <w:tcPr>
            <w:tcW w:w="1054"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Предназначени за облекчаване на инфлацията</w:t>
            </w:r>
          </w:p>
        </w:tc>
      </w:tr>
      <w:tr w:rsidR="005478BC" w:rsidRPr="005478BC" w:rsidTr="003D1253">
        <w:trPr>
          <w:trHeight w:val="804"/>
        </w:trPr>
        <w:tc>
          <w:tcPr>
            <w:cnfStyle w:val="001000000000" w:firstRow="0" w:lastRow="0" w:firstColumn="1" w:lastColumn="0" w:oddVBand="0" w:evenVBand="0" w:oddHBand="0" w:evenHBand="0" w:firstRowFirstColumn="0" w:firstRowLastColumn="0" w:lastRowFirstColumn="0" w:lastRowLastColumn="0"/>
            <w:tcW w:w="596" w:type="pct"/>
            <w:hideMark/>
          </w:tcPr>
          <w:p w:rsidR="005478BC" w:rsidRPr="005478BC" w:rsidRDefault="005478BC" w:rsidP="005478BC">
            <w:pPr>
              <w:rPr>
                <w:rFonts w:ascii="Times New Roman" w:hAnsi="Times New Roman"/>
                <w:szCs w:val="24"/>
                <w:lang w:val="bg-BG"/>
              </w:rPr>
            </w:pPr>
            <w:r w:rsidRPr="005478BC">
              <w:rPr>
                <w:rFonts w:ascii="Times New Roman" w:hAnsi="Times New Roman"/>
                <w:szCs w:val="24"/>
                <w:lang w:val="bg-BG"/>
              </w:rPr>
              <w:t>Латвия</w:t>
            </w:r>
          </w:p>
        </w:tc>
        <w:tc>
          <w:tcPr>
            <w:tcW w:w="1489"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„Солидарна вноска“ върху излишъка от нетен доход</w:t>
            </w:r>
          </w:p>
        </w:tc>
        <w:tc>
          <w:tcPr>
            <w:tcW w:w="1354"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60% от нетния доход над средния за 2018-22 г.</w:t>
            </w:r>
          </w:p>
        </w:tc>
        <w:tc>
          <w:tcPr>
            <w:tcW w:w="507"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2025-27</w:t>
            </w:r>
            <w:r w:rsidRPr="005478BC">
              <w:rPr>
                <w:lang w:val="bg-BG"/>
              </w:rPr>
              <w:t xml:space="preserve">   </w:t>
            </w:r>
          </w:p>
        </w:tc>
        <w:tc>
          <w:tcPr>
            <w:tcW w:w="1054" w:type="pct"/>
            <w:hideMark/>
          </w:tcPr>
          <w:p w:rsidR="005478BC" w:rsidRPr="005478BC" w:rsidRDefault="005478BC" w:rsidP="005478B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bg-BG"/>
              </w:rPr>
            </w:pPr>
            <w:r w:rsidRPr="005478BC">
              <w:rPr>
                <w:rFonts w:ascii="Times New Roman" w:hAnsi="Times New Roman"/>
                <w:szCs w:val="24"/>
                <w:lang w:val="bg-BG"/>
              </w:rPr>
              <w:t>Предназначени за разходи за отбрана</w:t>
            </w:r>
          </w:p>
        </w:tc>
      </w:tr>
    </w:tbl>
    <w:p w:rsidR="005478BC" w:rsidRPr="005478BC" w:rsidRDefault="005478BC" w:rsidP="00FC1BA1">
      <w:pPr>
        <w:spacing w:after="0" w:line="360" w:lineRule="auto"/>
        <w:ind w:firstLine="284"/>
        <w:jc w:val="both"/>
        <w:rPr>
          <w:rFonts w:ascii="Times New Roman" w:eastAsia="Times New Roman" w:hAnsi="Times New Roman" w:cs="Times New Roman"/>
          <w:sz w:val="24"/>
          <w:szCs w:val="24"/>
          <w:lang w:val="bg-BG"/>
        </w:rPr>
      </w:pPr>
      <w:r w:rsidRPr="005478BC">
        <w:rPr>
          <w:rFonts w:ascii="Times New Roman" w:eastAsia="Times New Roman" w:hAnsi="Times New Roman" w:cs="Times New Roman"/>
          <w:i/>
          <w:sz w:val="20"/>
          <w:szCs w:val="24"/>
          <w:lang w:val="bg-BG"/>
        </w:rPr>
        <w:t>Таблица: Характеристики на данъците върху свръхпечалбата или неочакваните печалби към 20 юни 2025 г.</w:t>
      </w:r>
    </w:p>
    <w:p w:rsidR="0085398B" w:rsidRDefault="00101969" w:rsidP="00C179EE">
      <w:pPr>
        <w:spacing w:after="0" w:line="240" w:lineRule="auto"/>
        <w:ind w:firstLine="720"/>
        <w:jc w:val="both"/>
      </w:pPr>
      <w:r>
        <w:rPr>
          <w:rFonts w:ascii="Times New Roman" w:eastAsia="Times New Roman" w:hAnsi="Times New Roman" w:cs="Times New Roman"/>
          <w:sz w:val="24"/>
          <w:szCs w:val="24"/>
          <w:lang w:val="bg-BG"/>
        </w:rPr>
        <w:t xml:space="preserve">Смятам, че </w:t>
      </w:r>
      <w:r w:rsidR="005478BC" w:rsidRPr="005478BC">
        <w:rPr>
          <w:rFonts w:ascii="Times New Roman" w:eastAsia="Times New Roman" w:hAnsi="Times New Roman" w:cs="Times New Roman"/>
          <w:sz w:val="24"/>
          <w:szCs w:val="24"/>
          <w:lang w:val="bg-BG"/>
        </w:rPr>
        <w:t xml:space="preserve">България би могла да се възползва от опита на другите държави-членки на ЕС за финансиране на пакети за помощи срещу инфлацията на социално слаби групи, както и за финансиране на повече разходи за отбрана. </w:t>
      </w:r>
    </w:p>
    <w:sectPr w:rsidR="0085398B" w:rsidSect="00777397">
      <w:footerReference w:type="default" r:id="rId6"/>
      <w:pgSz w:w="11906" w:h="16838" w:code="9"/>
      <w:pgMar w:top="993" w:right="1134" w:bottom="1134" w:left="1134" w:header="420"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8A" w:rsidRDefault="0016178A" w:rsidP="005478BC">
      <w:pPr>
        <w:spacing w:after="0" w:line="240" w:lineRule="auto"/>
      </w:pPr>
      <w:r>
        <w:separator/>
      </w:r>
    </w:p>
  </w:endnote>
  <w:endnote w:type="continuationSeparator" w:id="0">
    <w:p w:rsidR="0016178A" w:rsidRDefault="0016178A" w:rsidP="0054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543061942"/>
      <w:docPartObj>
        <w:docPartGallery w:val="Page Numbers (Bottom of Page)"/>
        <w:docPartUnique/>
      </w:docPartObj>
    </w:sdtPr>
    <w:sdtEndPr>
      <w:rPr>
        <w:noProof/>
      </w:rPr>
    </w:sdtEndPr>
    <w:sdtContent>
      <w:p w:rsidR="00930F88" w:rsidRPr="0036127B" w:rsidRDefault="0016178A">
        <w:pPr>
          <w:pStyle w:val="Footer"/>
          <w:jc w:val="right"/>
          <w:rPr>
            <w:rFonts w:ascii="Times New Roman" w:hAnsi="Times New Roman"/>
            <w:sz w:val="24"/>
          </w:rPr>
        </w:pPr>
        <w:r w:rsidRPr="0036127B">
          <w:rPr>
            <w:rFonts w:ascii="Times New Roman" w:hAnsi="Times New Roman"/>
            <w:sz w:val="24"/>
          </w:rPr>
          <w:fldChar w:fldCharType="begin"/>
        </w:r>
        <w:r w:rsidRPr="0036127B">
          <w:rPr>
            <w:rFonts w:ascii="Times New Roman" w:hAnsi="Times New Roman"/>
            <w:sz w:val="24"/>
          </w:rPr>
          <w:instrText xml:space="preserve"> PAGE   \* MERGEFORMAT </w:instrText>
        </w:r>
        <w:r w:rsidRPr="0036127B">
          <w:rPr>
            <w:rFonts w:ascii="Times New Roman" w:hAnsi="Times New Roman"/>
            <w:sz w:val="24"/>
          </w:rPr>
          <w:fldChar w:fldCharType="separate"/>
        </w:r>
        <w:r w:rsidR="00FC1BA1">
          <w:rPr>
            <w:rFonts w:ascii="Times New Roman" w:hAnsi="Times New Roman"/>
            <w:noProof/>
            <w:sz w:val="24"/>
          </w:rPr>
          <w:t>2</w:t>
        </w:r>
        <w:r w:rsidRPr="0036127B">
          <w:rPr>
            <w:rFonts w:ascii="Times New Roman" w:hAnsi="Times New Roman"/>
            <w:noProof/>
            <w:sz w:val="24"/>
          </w:rPr>
          <w:fldChar w:fldCharType="end"/>
        </w:r>
      </w:p>
    </w:sdtContent>
  </w:sdt>
  <w:p w:rsidR="00930F88" w:rsidRDefault="001617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8A" w:rsidRDefault="0016178A" w:rsidP="005478BC">
      <w:pPr>
        <w:spacing w:after="0" w:line="240" w:lineRule="auto"/>
      </w:pPr>
      <w:r>
        <w:separator/>
      </w:r>
    </w:p>
  </w:footnote>
  <w:footnote w:type="continuationSeparator" w:id="0">
    <w:p w:rsidR="0016178A" w:rsidRDefault="0016178A" w:rsidP="005478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1F"/>
    <w:rsid w:val="00101969"/>
    <w:rsid w:val="0016178A"/>
    <w:rsid w:val="00384F57"/>
    <w:rsid w:val="00386CAF"/>
    <w:rsid w:val="005478BC"/>
    <w:rsid w:val="00677B1F"/>
    <w:rsid w:val="0085398B"/>
    <w:rsid w:val="0086354A"/>
    <w:rsid w:val="00C179EE"/>
    <w:rsid w:val="00FC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A0D6"/>
  <w15:chartTrackingRefBased/>
  <w15:docId w15:val="{68AC5901-0F35-4A11-811C-F9B82DCF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78BC"/>
    <w:pPr>
      <w:tabs>
        <w:tab w:val="center" w:pos="4703"/>
        <w:tab w:val="right" w:pos="9406"/>
      </w:tabs>
      <w:spacing w:after="0" w:line="240" w:lineRule="auto"/>
    </w:pPr>
  </w:style>
  <w:style w:type="character" w:customStyle="1" w:styleId="FooterChar">
    <w:name w:val="Footer Char"/>
    <w:basedOn w:val="DefaultParagraphFont"/>
    <w:link w:val="Footer"/>
    <w:uiPriority w:val="99"/>
    <w:rsid w:val="005478BC"/>
  </w:style>
  <w:style w:type="table" w:customStyle="1" w:styleId="GridTable1Light-Accent11">
    <w:name w:val="Grid Table 1 Light - Accent 11"/>
    <w:basedOn w:val="TableNormal"/>
    <w:next w:val="GridTable1Light-Accent1"/>
    <w:uiPriority w:val="46"/>
    <w:rsid w:val="005478BC"/>
    <w:pPr>
      <w:spacing w:after="0" w:line="240" w:lineRule="auto"/>
    </w:pPr>
    <w:rPr>
      <w:rFonts w:ascii="Calibri" w:eastAsia="Calibri" w:hAnsi="Calibri" w:cs="Times New Roman"/>
      <w:lang w:val="bg"/>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78B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478BC"/>
    <w:pPr>
      <w:tabs>
        <w:tab w:val="center" w:pos="4703"/>
        <w:tab w:val="right" w:pos="9406"/>
      </w:tabs>
      <w:spacing w:after="0" w:line="240" w:lineRule="auto"/>
    </w:pPr>
  </w:style>
  <w:style w:type="character" w:customStyle="1" w:styleId="HeaderChar">
    <w:name w:val="Header Char"/>
    <w:basedOn w:val="DefaultParagraphFont"/>
    <w:link w:val="Header"/>
    <w:uiPriority w:val="99"/>
    <w:rsid w:val="00547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Гергана Дамянова</dc:creator>
  <cp:keywords/>
  <dc:description/>
  <cp:lastModifiedBy>Гергана Дамянова</cp:lastModifiedBy>
  <cp:revision>25</cp:revision>
  <dcterms:created xsi:type="dcterms:W3CDTF">2025-06-19T07:47:00Z</dcterms:created>
  <dcterms:modified xsi:type="dcterms:W3CDTF">2025-06-19T07:54:00Z</dcterms:modified>
</cp:coreProperties>
</file>