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0B" w:rsidRPr="00E948E7" w:rsidRDefault="0022400B" w:rsidP="00FF6E16">
      <w:pPr>
        <w:spacing w:line="240" w:lineRule="auto"/>
        <w:ind w:firstLine="0"/>
        <w:rPr>
          <w:rFonts w:ascii="Times New Roman" w:hAnsi="Times New Roman"/>
          <w:b/>
          <w:sz w:val="22"/>
          <w:szCs w:val="22"/>
          <w:lang w:val="bg-BG"/>
        </w:rPr>
      </w:pPr>
    </w:p>
    <w:p w:rsidR="00E948E7" w:rsidRPr="00E948E7" w:rsidRDefault="00E948E7" w:rsidP="00FF6E16">
      <w:pPr>
        <w:spacing w:line="240" w:lineRule="auto"/>
        <w:ind w:firstLine="0"/>
        <w:rPr>
          <w:rFonts w:ascii="Times New Roman" w:hAnsi="Times New Roman"/>
          <w:b/>
          <w:sz w:val="22"/>
          <w:szCs w:val="22"/>
          <w:lang w:val="bg-BG"/>
        </w:rPr>
      </w:pPr>
    </w:p>
    <w:p w:rsidR="00E948E7" w:rsidRPr="00E948E7" w:rsidRDefault="00E948E7" w:rsidP="00FF6E16">
      <w:pPr>
        <w:spacing w:line="240" w:lineRule="auto"/>
        <w:ind w:firstLine="0"/>
        <w:rPr>
          <w:rFonts w:ascii="Times New Roman" w:hAnsi="Times New Roman"/>
          <w:b/>
          <w:sz w:val="22"/>
          <w:szCs w:val="22"/>
          <w:lang w:val="bg-BG"/>
        </w:rPr>
      </w:pPr>
    </w:p>
    <w:p w:rsidR="00E948E7" w:rsidRPr="00E948E7" w:rsidRDefault="00E948E7" w:rsidP="00E948E7">
      <w:pPr>
        <w:autoSpaceDE/>
        <w:autoSpaceDN/>
        <w:spacing w:before="100" w:beforeAutospacing="1" w:after="100" w:afterAutospacing="1" w:line="240" w:lineRule="auto"/>
        <w:ind w:firstLine="0"/>
        <w:jc w:val="center"/>
        <w:rPr>
          <w:rFonts w:ascii="Times New Roman" w:eastAsia="Calibri" w:hAnsi="Times New Roman"/>
          <w:b/>
          <w:sz w:val="28"/>
          <w:lang w:val="bg-BG" w:eastAsia="en-US"/>
        </w:rPr>
      </w:pPr>
      <w:r w:rsidRPr="00E948E7">
        <w:rPr>
          <w:rFonts w:ascii="Times New Roman" w:eastAsia="Calibri" w:hAnsi="Times New Roman"/>
          <w:b/>
          <w:sz w:val="28"/>
          <w:lang w:val="bg-BG" w:eastAsia="en-US"/>
        </w:rPr>
        <w:t>Преход от валутен борд към еврозона на източноевропейските икономики</w:t>
      </w:r>
    </w:p>
    <w:p w:rsidR="00454D58" w:rsidRPr="00930F88" w:rsidRDefault="00930F88" w:rsidP="00A94966">
      <w:pPr>
        <w:autoSpaceDE/>
        <w:autoSpaceDN/>
        <w:spacing w:line="240" w:lineRule="auto"/>
        <w:ind w:left="3403" w:firstLine="708"/>
        <w:jc w:val="left"/>
        <w:rPr>
          <w:rFonts w:ascii="Times New Roman" w:hAnsi="Times New Roman"/>
          <w:b/>
          <w:i/>
          <w:sz w:val="28"/>
          <w:lang w:val="bg-BG"/>
        </w:rPr>
      </w:pPr>
      <w:r w:rsidRPr="00930F88">
        <w:rPr>
          <w:rFonts w:ascii="Times New Roman" w:hAnsi="Times New Roman"/>
          <w:b/>
          <w:i/>
          <w:sz w:val="28"/>
          <w:lang w:val="bg-BG"/>
        </w:rPr>
        <w:t xml:space="preserve">Анализ </w:t>
      </w:r>
    </w:p>
    <w:p w:rsidR="00E948E7" w:rsidRPr="00E948E7" w:rsidRDefault="00E948E7" w:rsidP="00930F88">
      <w:pPr>
        <w:autoSpaceDE/>
        <w:autoSpaceDN/>
        <w:spacing w:before="100" w:beforeAutospacing="1" w:after="100" w:afterAutospacing="1"/>
        <w:rPr>
          <w:rFonts w:ascii="Times New Roman" w:eastAsia="Calibri" w:hAnsi="Times New Roman"/>
          <w:sz w:val="24"/>
          <w:lang w:val="bg-BG" w:eastAsia="en-US"/>
        </w:rPr>
      </w:pPr>
      <w:r w:rsidRPr="00E948E7">
        <w:rPr>
          <w:rFonts w:ascii="Times New Roman" w:eastAsia="Calibri" w:hAnsi="Times New Roman"/>
          <w:sz w:val="24"/>
          <w:lang w:val="bg-BG" w:eastAsia="en-US"/>
        </w:rPr>
        <w:t xml:space="preserve">Само две държави от Източна Европа, присъединили се към еврозоната – Естония (2011 г.) и Литва (2015 г.), имаха правно обвързващи споразумения за валутен борд. Нито една от страните не промени валутния си курс, след като еврото послужи като валутна котва. Естония фиксира кроната спрямо еврото (чрез германската марка) от 1999 г. нататък; централният паритет и крайният обменен курс във валутния механизъм ERM II бяха идентични. Литва промени котвата на борда си от щатския долар към еврото през 2002 г. и запази валутния курс непроменен по време на ERM II и приемането на еврото. </w:t>
      </w:r>
      <w:r w:rsidRPr="00E948E7">
        <w:rPr>
          <w:rFonts w:ascii="Times New Roman" w:eastAsia="Calibri" w:hAnsi="Times New Roman"/>
          <w:b/>
          <w:sz w:val="24"/>
          <w:lang w:val="bg-BG" w:eastAsia="en-US"/>
        </w:rPr>
        <w:t>Дисциплината на валутния борд в Естония и Литва остава напълно запазена по време на прехода към еврото</w:t>
      </w:r>
      <w:r w:rsidRPr="00E948E7">
        <w:rPr>
          <w:rFonts w:ascii="Times New Roman" w:eastAsia="Calibri" w:hAnsi="Times New Roman"/>
          <w:sz w:val="24"/>
          <w:lang w:val="bg-BG" w:eastAsia="en-US"/>
        </w:rPr>
        <w:t xml:space="preserve">; не бяха използвани никакви механизми /девалвации или ревалвации/ за изпълнение на критерия от </w:t>
      </w:r>
      <w:proofErr w:type="spellStart"/>
      <w:r w:rsidRPr="00E948E7">
        <w:rPr>
          <w:rFonts w:ascii="Times New Roman" w:eastAsia="Calibri" w:hAnsi="Times New Roman"/>
          <w:sz w:val="24"/>
          <w:lang w:val="bg-BG" w:eastAsia="en-US"/>
        </w:rPr>
        <w:t>Маастрихт</w:t>
      </w:r>
      <w:proofErr w:type="spellEnd"/>
      <w:r w:rsidRPr="00E948E7">
        <w:rPr>
          <w:rFonts w:ascii="Times New Roman" w:eastAsia="Calibri" w:hAnsi="Times New Roman"/>
          <w:sz w:val="24"/>
          <w:lang w:val="bg-BG" w:eastAsia="en-US"/>
        </w:rPr>
        <w:t xml:space="preserve"> за валутен курс.</w:t>
      </w:r>
    </w:p>
    <w:tbl>
      <w:tblPr>
        <w:tblStyle w:val="GridTable1Light"/>
        <w:tblW w:w="10632" w:type="dxa"/>
        <w:tblInd w:w="-431" w:type="dxa"/>
        <w:tblLayout w:type="fixed"/>
        <w:tblLook w:val="04A0" w:firstRow="1" w:lastRow="0" w:firstColumn="1" w:lastColumn="0" w:noHBand="0" w:noVBand="1"/>
      </w:tblPr>
      <w:tblGrid>
        <w:gridCol w:w="1199"/>
        <w:gridCol w:w="1204"/>
        <w:gridCol w:w="1742"/>
        <w:gridCol w:w="1726"/>
        <w:gridCol w:w="1218"/>
        <w:gridCol w:w="1701"/>
        <w:gridCol w:w="1842"/>
      </w:tblGrid>
      <w:tr w:rsidR="00930F88" w:rsidRPr="00E948E7" w:rsidTr="00930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dxa"/>
            <w:vAlign w:val="center"/>
            <w:hideMark/>
          </w:tcPr>
          <w:p w:rsidR="00E948E7" w:rsidRPr="00E948E7" w:rsidRDefault="00E948E7" w:rsidP="00930F88">
            <w:pPr>
              <w:spacing w:line="240" w:lineRule="auto"/>
              <w:ind w:firstLine="0"/>
              <w:jc w:val="center"/>
              <w:rPr>
                <w:rFonts w:ascii="Times New Roman" w:hAnsi="Times New Roman"/>
                <w:sz w:val="24"/>
                <w:lang w:val="bg-BG"/>
              </w:rPr>
            </w:pPr>
            <w:r w:rsidRPr="00E948E7">
              <w:rPr>
                <w:rFonts w:ascii="Times New Roman" w:hAnsi="Times New Roman"/>
                <w:sz w:val="24"/>
                <w:lang w:val="bg-BG"/>
              </w:rPr>
              <w:t>Държава</w:t>
            </w:r>
          </w:p>
        </w:tc>
        <w:tc>
          <w:tcPr>
            <w:tcW w:w="1204" w:type="dxa"/>
            <w:vAlign w:val="center"/>
            <w:hideMark/>
          </w:tcPr>
          <w:p w:rsidR="00E948E7" w:rsidRPr="00E948E7" w:rsidRDefault="00E948E7" w:rsidP="00930F8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Валутен борд</w:t>
            </w:r>
          </w:p>
        </w:tc>
        <w:tc>
          <w:tcPr>
            <w:tcW w:w="1742" w:type="dxa"/>
            <w:vAlign w:val="center"/>
            <w:hideMark/>
          </w:tcPr>
          <w:p w:rsidR="00E948E7" w:rsidRPr="00E948E7" w:rsidRDefault="00E948E7" w:rsidP="00930F8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Фиксирана лихва и котва</w:t>
            </w:r>
          </w:p>
        </w:tc>
        <w:tc>
          <w:tcPr>
            <w:tcW w:w="1726" w:type="dxa"/>
            <w:vAlign w:val="center"/>
            <w:hideMark/>
          </w:tcPr>
          <w:p w:rsidR="00E948E7" w:rsidRPr="00E948E7" w:rsidRDefault="00E948E7" w:rsidP="00930F8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Валутно-резервни механизми II</w:t>
            </w:r>
          </w:p>
        </w:tc>
        <w:tc>
          <w:tcPr>
            <w:tcW w:w="1218" w:type="dxa"/>
            <w:vAlign w:val="center"/>
            <w:hideMark/>
          </w:tcPr>
          <w:p w:rsidR="00E948E7" w:rsidRPr="00E948E7" w:rsidRDefault="00E948E7" w:rsidP="00930F8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Еврото е прието</w:t>
            </w:r>
          </w:p>
        </w:tc>
        <w:tc>
          <w:tcPr>
            <w:tcW w:w="1701" w:type="dxa"/>
            <w:vAlign w:val="center"/>
            <w:hideMark/>
          </w:tcPr>
          <w:p w:rsidR="00E948E7" w:rsidRPr="00E948E7" w:rsidRDefault="00E948E7" w:rsidP="00930F8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Коефициент на конверсия</w:t>
            </w:r>
          </w:p>
        </w:tc>
        <w:tc>
          <w:tcPr>
            <w:tcW w:w="1842" w:type="dxa"/>
            <w:vAlign w:val="center"/>
            <w:hideMark/>
          </w:tcPr>
          <w:p w:rsidR="00E948E7" w:rsidRPr="00E948E7" w:rsidRDefault="00E948E7" w:rsidP="00930F8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Променена ли беше котвата?</w:t>
            </w:r>
          </w:p>
        </w:tc>
      </w:tr>
      <w:tr w:rsidR="00930F88" w:rsidRPr="00E948E7" w:rsidTr="00930F88">
        <w:tc>
          <w:tcPr>
            <w:cnfStyle w:val="001000000000" w:firstRow="0" w:lastRow="0" w:firstColumn="1" w:lastColumn="0" w:oddVBand="0" w:evenVBand="0" w:oddHBand="0" w:evenHBand="0" w:firstRowFirstColumn="0" w:firstRowLastColumn="0" w:lastRowFirstColumn="0" w:lastRowLastColumn="0"/>
            <w:tcW w:w="1199" w:type="dxa"/>
            <w:vAlign w:val="center"/>
            <w:hideMark/>
          </w:tcPr>
          <w:p w:rsidR="00E948E7" w:rsidRPr="00E948E7" w:rsidRDefault="00E948E7" w:rsidP="00930F88">
            <w:pPr>
              <w:spacing w:line="240" w:lineRule="auto"/>
              <w:ind w:firstLine="0"/>
              <w:jc w:val="left"/>
              <w:rPr>
                <w:rFonts w:ascii="Times New Roman" w:hAnsi="Times New Roman"/>
                <w:sz w:val="24"/>
                <w:lang w:val="bg-BG"/>
              </w:rPr>
            </w:pPr>
            <w:r w:rsidRPr="00E948E7">
              <w:rPr>
                <w:rFonts w:ascii="Times New Roman" w:hAnsi="Times New Roman"/>
                <w:sz w:val="24"/>
                <w:lang w:val="bg-BG"/>
              </w:rPr>
              <w:t>Естония</w:t>
            </w:r>
          </w:p>
        </w:tc>
        <w:tc>
          <w:tcPr>
            <w:tcW w:w="1204"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20 юни 1992 г. до 31 декември 2010 г.</w:t>
            </w:r>
          </w:p>
        </w:tc>
        <w:tc>
          <w:tcPr>
            <w:tcW w:w="1742"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8 германски марки = 1 естонска крона (1992-1998 г.) до 15,6466 естонски крони = 1 евро</w:t>
            </w:r>
          </w:p>
        </w:tc>
        <w:tc>
          <w:tcPr>
            <w:tcW w:w="1726"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28 юни 2004 г. (паритет 15.6466)</w:t>
            </w:r>
          </w:p>
        </w:tc>
        <w:tc>
          <w:tcPr>
            <w:tcW w:w="1218"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1 януари 2011 г.</w:t>
            </w:r>
          </w:p>
        </w:tc>
        <w:tc>
          <w:tcPr>
            <w:tcW w:w="1701" w:type="dxa"/>
            <w:vAlign w:val="center"/>
            <w:hideMark/>
          </w:tcPr>
          <w:p w:rsidR="00E948E7" w:rsidRPr="00E948E7" w:rsidRDefault="00E948E7" w:rsidP="00FD7F2E">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 xml:space="preserve">15.6466 </w:t>
            </w:r>
            <w:r w:rsidR="00FD7F2E">
              <w:rPr>
                <w:rFonts w:ascii="Times New Roman" w:hAnsi="Times New Roman"/>
                <w:sz w:val="24"/>
                <w:lang w:val="bg-BG"/>
              </w:rPr>
              <w:t>естонски</w:t>
            </w:r>
            <w:r w:rsidRPr="00E948E7">
              <w:rPr>
                <w:rFonts w:ascii="Times New Roman" w:hAnsi="Times New Roman"/>
                <w:sz w:val="24"/>
                <w:lang w:val="bg-BG"/>
              </w:rPr>
              <w:t xml:space="preserve"> крони = 1 евро</w:t>
            </w:r>
          </w:p>
        </w:tc>
        <w:tc>
          <w:tcPr>
            <w:tcW w:w="1842"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Не. Кроната влезе в ERM II със същия курс, който преобладаваше от 1999 г. насам; еврото беше въведено със същия курс.</w:t>
            </w:r>
          </w:p>
        </w:tc>
      </w:tr>
      <w:tr w:rsidR="00930F88" w:rsidRPr="00E948E7" w:rsidTr="00930F88">
        <w:tc>
          <w:tcPr>
            <w:cnfStyle w:val="001000000000" w:firstRow="0" w:lastRow="0" w:firstColumn="1" w:lastColumn="0" w:oddVBand="0" w:evenVBand="0" w:oddHBand="0" w:evenHBand="0" w:firstRowFirstColumn="0" w:firstRowLastColumn="0" w:lastRowFirstColumn="0" w:lastRowLastColumn="0"/>
            <w:tcW w:w="1199" w:type="dxa"/>
            <w:vAlign w:val="center"/>
            <w:hideMark/>
          </w:tcPr>
          <w:p w:rsidR="00E948E7" w:rsidRPr="00E948E7" w:rsidRDefault="00E948E7" w:rsidP="00930F88">
            <w:pPr>
              <w:spacing w:line="240" w:lineRule="auto"/>
              <w:ind w:firstLine="0"/>
              <w:jc w:val="left"/>
              <w:rPr>
                <w:rFonts w:ascii="Times New Roman" w:hAnsi="Times New Roman"/>
                <w:sz w:val="24"/>
                <w:lang w:val="bg-BG"/>
              </w:rPr>
            </w:pPr>
            <w:r w:rsidRPr="00E948E7">
              <w:rPr>
                <w:rFonts w:ascii="Times New Roman" w:hAnsi="Times New Roman"/>
                <w:sz w:val="24"/>
                <w:lang w:val="bg-BG"/>
              </w:rPr>
              <w:t>Литва</w:t>
            </w:r>
          </w:p>
        </w:tc>
        <w:tc>
          <w:tcPr>
            <w:tcW w:w="1204"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1 април 1994 г. до 31 декември 2014 г.</w:t>
            </w:r>
          </w:p>
        </w:tc>
        <w:tc>
          <w:tcPr>
            <w:tcW w:w="1742"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4 USD = 1 LTL (1994-2002) до 3,4528 LTL = 1 € (от 2 февруари 2002 г.)</w:t>
            </w:r>
          </w:p>
        </w:tc>
        <w:tc>
          <w:tcPr>
            <w:tcW w:w="1726"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28 юни 2004 г. (паритет 3.4528)</w:t>
            </w:r>
          </w:p>
        </w:tc>
        <w:tc>
          <w:tcPr>
            <w:tcW w:w="1218"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1 януари 2015 г.</w:t>
            </w:r>
          </w:p>
        </w:tc>
        <w:tc>
          <w:tcPr>
            <w:tcW w:w="1701"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3.4528 литовски лири = 1 евро</w:t>
            </w:r>
          </w:p>
        </w:tc>
        <w:tc>
          <w:tcPr>
            <w:tcW w:w="1842" w:type="dxa"/>
            <w:vAlign w:val="center"/>
            <w:hideMark/>
          </w:tcPr>
          <w:p w:rsidR="00E948E7" w:rsidRPr="00E948E7" w:rsidRDefault="00E948E7" w:rsidP="00930F8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 xml:space="preserve">Не. </w:t>
            </w:r>
            <w:proofErr w:type="spellStart"/>
            <w:r w:rsidRPr="00E948E7">
              <w:rPr>
                <w:rFonts w:ascii="Times New Roman" w:hAnsi="Times New Roman"/>
                <w:sz w:val="24"/>
                <w:lang w:val="bg-BG"/>
              </w:rPr>
              <w:t>Литасът</w:t>
            </w:r>
            <w:proofErr w:type="spellEnd"/>
            <w:r w:rsidRPr="00E948E7">
              <w:rPr>
                <w:rFonts w:ascii="Times New Roman" w:hAnsi="Times New Roman"/>
                <w:sz w:val="24"/>
                <w:lang w:val="bg-BG"/>
              </w:rPr>
              <w:t xml:space="preserve"> запази същия курс от 3.4528 от 2002 г. през ERM II и до приемането на еврото.</w:t>
            </w:r>
          </w:p>
        </w:tc>
      </w:tr>
    </w:tbl>
    <w:p w:rsidR="00E948E7" w:rsidRPr="00E948E7" w:rsidRDefault="00E948E7" w:rsidP="00930F88">
      <w:pPr>
        <w:autoSpaceDE/>
        <w:autoSpaceDN/>
        <w:spacing w:before="100" w:beforeAutospacing="1" w:after="100" w:afterAutospacing="1"/>
        <w:rPr>
          <w:rFonts w:ascii="Times New Roman" w:eastAsia="Calibri" w:hAnsi="Times New Roman"/>
          <w:sz w:val="24"/>
          <w:lang w:val="bg-BG" w:eastAsia="en-US"/>
        </w:rPr>
      </w:pPr>
      <w:r w:rsidRPr="00E948E7">
        <w:rPr>
          <w:rFonts w:ascii="Times New Roman" w:eastAsia="Calibri" w:hAnsi="Times New Roman"/>
          <w:sz w:val="24"/>
          <w:lang w:val="bg-BG" w:eastAsia="en-US"/>
        </w:rPr>
        <w:t>Латвия имаше твърдо обвързване към еврото, но не и задължителен валутен борд. Словения, Словакия и Хърватия бяха здраво обвързани с еврото преди присъединяването си, но нито една от тях не въведе това обвързване в правно обвързваща рамка на валутния борд.</w:t>
      </w:r>
    </w:p>
    <w:p w:rsidR="00454D58" w:rsidRPr="00E948E7" w:rsidRDefault="00454D58" w:rsidP="00454D58">
      <w:pPr>
        <w:rPr>
          <w:rFonts w:ascii="Times New Roman" w:hAnsi="Times New Roman"/>
          <w:sz w:val="24"/>
          <w:lang w:val="bg-BG"/>
        </w:rPr>
      </w:pPr>
    </w:p>
    <w:tbl>
      <w:tblPr>
        <w:tblStyle w:val="GridTable1Light"/>
        <w:tblW w:w="0" w:type="auto"/>
        <w:tblLook w:val="04A0" w:firstRow="1" w:lastRow="0" w:firstColumn="1" w:lastColumn="0" w:noHBand="0" w:noVBand="1"/>
      </w:tblPr>
      <w:tblGrid>
        <w:gridCol w:w="1300"/>
        <w:gridCol w:w="6350"/>
        <w:gridCol w:w="1978"/>
      </w:tblGrid>
      <w:tr w:rsidR="00E948E7" w:rsidRPr="00E948E7" w:rsidTr="00930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948E7" w:rsidRPr="00E948E7" w:rsidRDefault="00E948E7" w:rsidP="00930F88">
            <w:pPr>
              <w:ind w:firstLine="0"/>
              <w:jc w:val="center"/>
              <w:rPr>
                <w:rFonts w:ascii="Times New Roman" w:hAnsi="Times New Roman"/>
                <w:sz w:val="24"/>
                <w:lang w:val="bg-BG"/>
              </w:rPr>
            </w:pPr>
            <w:r w:rsidRPr="00E948E7">
              <w:rPr>
                <w:rFonts w:ascii="Times New Roman" w:hAnsi="Times New Roman"/>
                <w:sz w:val="24"/>
                <w:lang w:val="bg-BG"/>
              </w:rPr>
              <w:lastRenderedPageBreak/>
              <w:t>Държава</w:t>
            </w:r>
          </w:p>
        </w:tc>
        <w:tc>
          <w:tcPr>
            <w:tcW w:w="6350" w:type="dxa"/>
            <w:vAlign w:val="center"/>
            <w:hideMark/>
          </w:tcPr>
          <w:p w:rsidR="00E948E7" w:rsidRPr="00E948E7" w:rsidRDefault="00E948E7" w:rsidP="00930F88">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Режим на валутния курс преди еврото</w:t>
            </w:r>
          </w:p>
        </w:tc>
        <w:tc>
          <w:tcPr>
            <w:tcW w:w="1978" w:type="dxa"/>
            <w:vAlign w:val="center"/>
            <w:hideMark/>
          </w:tcPr>
          <w:p w:rsidR="00E948E7" w:rsidRPr="00E948E7" w:rsidRDefault="00E948E7" w:rsidP="00930F88">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Класификация от ЕЦБ</w:t>
            </w:r>
          </w:p>
        </w:tc>
      </w:tr>
      <w:tr w:rsidR="00E948E7" w:rsidRPr="00E948E7" w:rsidTr="00930F88">
        <w:tc>
          <w:tcPr>
            <w:cnfStyle w:val="001000000000" w:firstRow="0" w:lastRow="0" w:firstColumn="1" w:lastColumn="0" w:oddVBand="0" w:evenVBand="0" w:oddHBand="0" w:evenHBand="0" w:firstRowFirstColumn="0" w:firstRowLastColumn="0" w:lastRowFirstColumn="0" w:lastRowLastColumn="0"/>
            <w:tcW w:w="0" w:type="auto"/>
            <w:hideMark/>
          </w:tcPr>
          <w:p w:rsidR="00E948E7" w:rsidRPr="00E948E7" w:rsidRDefault="00E948E7" w:rsidP="00930F88">
            <w:pPr>
              <w:spacing w:line="240" w:lineRule="auto"/>
              <w:ind w:firstLine="0"/>
              <w:rPr>
                <w:rFonts w:ascii="Times New Roman" w:hAnsi="Times New Roman"/>
                <w:sz w:val="24"/>
                <w:lang w:val="bg-BG"/>
              </w:rPr>
            </w:pPr>
            <w:r w:rsidRPr="00E948E7">
              <w:rPr>
                <w:rFonts w:ascii="Times New Roman" w:hAnsi="Times New Roman"/>
                <w:sz w:val="24"/>
                <w:lang w:val="bg-BG"/>
              </w:rPr>
              <w:t>Словения</w:t>
            </w:r>
          </w:p>
        </w:tc>
        <w:tc>
          <w:tcPr>
            <w:tcW w:w="6350" w:type="dxa"/>
            <w:hideMark/>
          </w:tcPr>
          <w:p w:rsidR="00E948E7" w:rsidRPr="00E948E7" w:rsidRDefault="00E948E7" w:rsidP="00930F88">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 xml:space="preserve">Словения емитира </w:t>
            </w:r>
            <w:proofErr w:type="spellStart"/>
            <w:r w:rsidRPr="00E948E7">
              <w:rPr>
                <w:rFonts w:ascii="Times New Roman" w:hAnsi="Times New Roman"/>
                <w:sz w:val="24"/>
                <w:lang w:val="bg-BG"/>
              </w:rPr>
              <w:t>толара</w:t>
            </w:r>
            <w:proofErr w:type="spellEnd"/>
            <w:r w:rsidRPr="00E948E7">
              <w:rPr>
                <w:rFonts w:ascii="Times New Roman" w:hAnsi="Times New Roman"/>
                <w:sz w:val="24"/>
                <w:lang w:val="bg-BG"/>
              </w:rPr>
              <w:t xml:space="preserve"> при стандартен фиксиран курс от ±15% към ERM II от юни 2004 г. до конвертирането на 1 януари 2007 г.</w:t>
            </w:r>
          </w:p>
        </w:tc>
        <w:tc>
          <w:tcPr>
            <w:tcW w:w="1978" w:type="dxa"/>
            <w:hideMark/>
          </w:tcPr>
          <w:p w:rsidR="00E948E7" w:rsidRPr="00E948E7" w:rsidRDefault="00E948E7" w:rsidP="00930F88">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Конвенционален фиксиран курс</w:t>
            </w:r>
          </w:p>
        </w:tc>
      </w:tr>
      <w:tr w:rsidR="00E948E7" w:rsidRPr="00E948E7" w:rsidTr="00930F88">
        <w:tc>
          <w:tcPr>
            <w:cnfStyle w:val="001000000000" w:firstRow="0" w:lastRow="0" w:firstColumn="1" w:lastColumn="0" w:oddVBand="0" w:evenVBand="0" w:oddHBand="0" w:evenHBand="0" w:firstRowFirstColumn="0" w:firstRowLastColumn="0" w:lastRowFirstColumn="0" w:lastRowLastColumn="0"/>
            <w:tcW w:w="0" w:type="auto"/>
            <w:hideMark/>
          </w:tcPr>
          <w:p w:rsidR="00E948E7" w:rsidRPr="00E948E7" w:rsidRDefault="00E948E7" w:rsidP="00930F88">
            <w:pPr>
              <w:spacing w:line="240" w:lineRule="auto"/>
              <w:ind w:firstLine="0"/>
              <w:rPr>
                <w:rFonts w:ascii="Times New Roman" w:hAnsi="Times New Roman"/>
                <w:sz w:val="24"/>
                <w:lang w:val="bg-BG"/>
              </w:rPr>
            </w:pPr>
            <w:r w:rsidRPr="00E948E7">
              <w:rPr>
                <w:rFonts w:ascii="Times New Roman" w:hAnsi="Times New Roman"/>
                <w:sz w:val="24"/>
                <w:lang w:val="bg-BG"/>
              </w:rPr>
              <w:t>Словакия</w:t>
            </w:r>
          </w:p>
        </w:tc>
        <w:tc>
          <w:tcPr>
            <w:tcW w:w="6350" w:type="dxa"/>
            <w:hideMark/>
          </w:tcPr>
          <w:p w:rsidR="00E948E7" w:rsidRPr="00E948E7" w:rsidRDefault="00E948E7" w:rsidP="00930F88">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Тесен фиксиран валутен курс (1993-97) към управляван плаващ валутен курс след 1998; влизане в ERM II през ноември 2005 г., централният паритет е преоценен (май 2008 г.) преди конвертирането на 30,126 словашки крони/евро.</w:t>
            </w:r>
          </w:p>
        </w:tc>
        <w:tc>
          <w:tcPr>
            <w:tcW w:w="1978" w:type="dxa"/>
            <w:hideMark/>
          </w:tcPr>
          <w:p w:rsidR="00E948E7" w:rsidRPr="00E948E7" w:rsidRDefault="00E948E7" w:rsidP="00930F88">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Управляван плаващ курс</w:t>
            </w:r>
          </w:p>
        </w:tc>
      </w:tr>
      <w:tr w:rsidR="00E948E7" w:rsidRPr="00E948E7" w:rsidTr="00930F88">
        <w:tc>
          <w:tcPr>
            <w:cnfStyle w:val="001000000000" w:firstRow="0" w:lastRow="0" w:firstColumn="1" w:lastColumn="0" w:oddVBand="0" w:evenVBand="0" w:oddHBand="0" w:evenHBand="0" w:firstRowFirstColumn="0" w:firstRowLastColumn="0" w:lastRowFirstColumn="0" w:lastRowLastColumn="0"/>
            <w:tcW w:w="0" w:type="auto"/>
            <w:hideMark/>
          </w:tcPr>
          <w:p w:rsidR="00E948E7" w:rsidRPr="00E948E7" w:rsidRDefault="00E948E7" w:rsidP="00930F88">
            <w:pPr>
              <w:spacing w:line="240" w:lineRule="auto"/>
              <w:ind w:firstLine="0"/>
              <w:rPr>
                <w:rFonts w:ascii="Times New Roman" w:hAnsi="Times New Roman"/>
                <w:sz w:val="24"/>
                <w:lang w:val="bg-BG"/>
              </w:rPr>
            </w:pPr>
            <w:r w:rsidRPr="00E948E7">
              <w:rPr>
                <w:rFonts w:ascii="Times New Roman" w:hAnsi="Times New Roman"/>
                <w:sz w:val="24"/>
                <w:lang w:val="bg-BG"/>
              </w:rPr>
              <w:t>Хърватия</w:t>
            </w:r>
          </w:p>
        </w:tc>
        <w:tc>
          <w:tcPr>
            <w:tcW w:w="6350" w:type="dxa"/>
            <w:hideMark/>
          </w:tcPr>
          <w:p w:rsidR="00E948E7" w:rsidRPr="00E948E7" w:rsidRDefault="00E948E7" w:rsidP="00930F88">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 xml:space="preserve">Стегнато „квази-обвързване“ към еврото, но формално режим на управляван плаващ курс; </w:t>
            </w:r>
            <w:proofErr w:type="spellStart"/>
            <w:r w:rsidRPr="00E948E7">
              <w:rPr>
                <w:rFonts w:ascii="Times New Roman" w:hAnsi="Times New Roman"/>
                <w:sz w:val="24"/>
                <w:lang w:val="bg-BG"/>
              </w:rPr>
              <w:t>куната</w:t>
            </w:r>
            <w:proofErr w:type="spellEnd"/>
            <w:r w:rsidRPr="00E948E7">
              <w:rPr>
                <w:rFonts w:ascii="Times New Roman" w:hAnsi="Times New Roman"/>
                <w:sz w:val="24"/>
                <w:lang w:val="bg-BG"/>
              </w:rPr>
              <w:t xml:space="preserve"> се държеше в рамките на ±7%. Присъедини се към ERM II през юли 2020 г.; еврото беше прието на 1 януари 2023 г.</w:t>
            </w:r>
          </w:p>
        </w:tc>
        <w:tc>
          <w:tcPr>
            <w:tcW w:w="1978" w:type="dxa"/>
            <w:hideMark/>
          </w:tcPr>
          <w:p w:rsidR="00E948E7" w:rsidRPr="00E948E7" w:rsidRDefault="00E948E7" w:rsidP="00930F88">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bg-BG"/>
              </w:rPr>
            </w:pPr>
            <w:r w:rsidRPr="00E948E7">
              <w:rPr>
                <w:rFonts w:ascii="Times New Roman" w:hAnsi="Times New Roman"/>
                <w:sz w:val="24"/>
                <w:lang w:val="bg-BG"/>
              </w:rPr>
              <w:t>Управляван плаващ курс</w:t>
            </w:r>
          </w:p>
        </w:tc>
      </w:tr>
    </w:tbl>
    <w:p w:rsidR="00454D58" w:rsidRPr="00E948E7" w:rsidRDefault="00454D58" w:rsidP="00454D58">
      <w:pPr>
        <w:rPr>
          <w:rFonts w:ascii="Times New Roman" w:hAnsi="Times New Roman"/>
          <w:sz w:val="24"/>
          <w:lang w:val="bg-BG"/>
        </w:rPr>
      </w:pPr>
    </w:p>
    <w:p w:rsidR="0036127B" w:rsidRDefault="00F40BA2" w:rsidP="00F40BA2">
      <w:pPr>
        <w:tabs>
          <w:tab w:val="left" w:pos="3240"/>
          <w:tab w:val="left" w:pos="3870"/>
        </w:tabs>
        <w:rPr>
          <w:rFonts w:ascii="Times New Roman" w:hAnsi="Times New Roman"/>
          <w:sz w:val="24"/>
          <w:lang w:val="bg-BG"/>
        </w:rPr>
      </w:pPr>
      <w:r w:rsidRPr="00E948E7">
        <w:rPr>
          <w:rFonts w:ascii="Times New Roman" w:hAnsi="Times New Roman"/>
          <w:sz w:val="24"/>
          <w:lang w:val="bg-BG"/>
        </w:rPr>
        <w:tab/>
      </w:r>
    </w:p>
    <w:p w:rsidR="00A616CA" w:rsidRPr="00A616CA" w:rsidRDefault="00A616CA" w:rsidP="00A616CA">
      <w:pPr>
        <w:tabs>
          <w:tab w:val="left" w:pos="3240"/>
          <w:tab w:val="left" w:pos="3870"/>
        </w:tabs>
        <w:rPr>
          <w:rFonts w:ascii="Times New Roman" w:hAnsi="Times New Roman"/>
          <w:sz w:val="24"/>
          <w:lang w:val="bg-BG"/>
        </w:rPr>
      </w:pPr>
      <w:r>
        <w:rPr>
          <w:rFonts w:ascii="Times New Roman" w:hAnsi="Times New Roman"/>
          <w:sz w:val="24"/>
          <w:lang w:val="bg-BG"/>
        </w:rPr>
        <w:t>П</w:t>
      </w:r>
      <w:r w:rsidRPr="00A616CA">
        <w:rPr>
          <w:rFonts w:ascii="Times New Roman" w:hAnsi="Times New Roman"/>
          <w:sz w:val="24"/>
          <w:lang w:val="bg-BG"/>
        </w:rPr>
        <w:t xml:space="preserve">равната рамка на ЕС </w:t>
      </w:r>
      <w:r w:rsidR="00D468A8">
        <w:rPr>
          <w:rFonts w:ascii="Times New Roman" w:hAnsi="Times New Roman"/>
          <w:sz w:val="24"/>
          <w:lang w:val="bg-BG"/>
        </w:rPr>
        <w:t xml:space="preserve">по отношение на обменния курс при въвеждане на еврото </w:t>
      </w:r>
      <w:r w:rsidRPr="00A616CA">
        <w:rPr>
          <w:rFonts w:ascii="Times New Roman" w:hAnsi="Times New Roman"/>
          <w:sz w:val="24"/>
          <w:lang w:val="bg-BG"/>
        </w:rPr>
        <w:t>се съдържа в Договора за функционирането на Европейския съюз</w:t>
      </w:r>
      <w:r w:rsidR="008D302B">
        <w:rPr>
          <w:rFonts w:ascii="Times New Roman" w:hAnsi="Times New Roman"/>
          <w:sz w:val="24"/>
          <w:lang w:val="bg-BG"/>
        </w:rPr>
        <w:t xml:space="preserve">. Както и в другите държави членки, съгласно чл. 140, параграф </w:t>
      </w:r>
      <w:r w:rsidR="00A46374">
        <w:rPr>
          <w:rFonts w:ascii="Times New Roman" w:hAnsi="Times New Roman"/>
          <w:sz w:val="24"/>
          <w:lang w:val="bg-BG"/>
        </w:rPr>
        <w:t>3</w:t>
      </w:r>
      <w:r w:rsidR="008D302B">
        <w:rPr>
          <w:rFonts w:ascii="Times New Roman" w:hAnsi="Times New Roman"/>
          <w:sz w:val="24"/>
          <w:lang w:val="bg-BG"/>
        </w:rPr>
        <w:t xml:space="preserve"> от ДФЕС</w:t>
      </w:r>
      <w:r w:rsidR="008D302B" w:rsidRPr="008D302B">
        <w:rPr>
          <w:rFonts w:ascii="Times New Roman" w:hAnsi="Times New Roman"/>
          <w:sz w:val="24"/>
          <w:lang w:val="bg-BG"/>
        </w:rPr>
        <w:t xml:space="preserve"> </w:t>
      </w:r>
      <w:r w:rsidRPr="00A616CA">
        <w:rPr>
          <w:rFonts w:ascii="Times New Roman" w:hAnsi="Times New Roman"/>
          <w:sz w:val="24"/>
          <w:lang w:val="bg-BG"/>
        </w:rPr>
        <w:t xml:space="preserve">следва, че Съветът фиксира курса само по предложения курс на ЕК и ЕЦБ. Този предложен курс следва да е посочен в </w:t>
      </w:r>
      <w:proofErr w:type="spellStart"/>
      <w:r w:rsidRPr="00A616CA">
        <w:rPr>
          <w:rFonts w:ascii="Times New Roman" w:hAnsi="Times New Roman"/>
          <w:sz w:val="24"/>
          <w:lang w:val="bg-BG"/>
        </w:rPr>
        <w:t>конвергентния</w:t>
      </w:r>
      <w:proofErr w:type="spellEnd"/>
      <w:r w:rsidRPr="00A616CA">
        <w:rPr>
          <w:rFonts w:ascii="Times New Roman" w:hAnsi="Times New Roman"/>
          <w:sz w:val="24"/>
          <w:lang w:val="bg-BG"/>
        </w:rPr>
        <w:t xml:space="preserve"> доклад на 4 юни и следва да отговаря на равновесния курс по ERM II, който за България е 1,95583.</w:t>
      </w:r>
      <w:bookmarkStart w:id="0" w:name="_GoBack"/>
      <w:bookmarkEnd w:id="0"/>
    </w:p>
    <w:p w:rsidR="009D36DF" w:rsidRPr="0036127B" w:rsidRDefault="008D302B" w:rsidP="008D302B">
      <w:pPr>
        <w:rPr>
          <w:rFonts w:ascii="Times New Roman" w:hAnsi="Times New Roman"/>
          <w:sz w:val="24"/>
          <w:lang w:val="bg-BG"/>
        </w:rPr>
      </w:pPr>
      <w:r w:rsidRPr="00E948E7">
        <w:rPr>
          <w:rFonts w:ascii="Times New Roman" w:hAnsi="Times New Roman"/>
          <w:sz w:val="24"/>
          <w:lang w:val="bg-BG"/>
        </w:rPr>
        <w:t xml:space="preserve">Фундаментът на </w:t>
      </w:r>
      <w:r w:rsidR="00A46374">
        <w:rPr>
          <w:rFonts w:ascii="Times New Roman" w:hAnsi="Times New Roman"/>
          <w:sz w:val="24"/>
          <w:lang w:val="bg-BG"/>
        </w:rPr>
        <w:t>паричната</w:t>
      </w:r>
      <w:r w:rsidRPr="00E948E7">
        <w:rPr>
          <w:rFonts w:ascii="Times New Roman" w:hAnsi="Times New Roman"/>
          <w:sz w:val="24"/>
          <w:lang w:val="bg-BG"/>
        </w:rPr>
        <w:t xml:space="preserve"> политика в България през последните 28 години винаги е стъпвал на две котви. Първата е неизменното поддържане на валутния борд, както и на курса 1.95583 лева за евро. Втората котва е, че </w:t>
      </w:r>
      <w:r w:rsidRPr="000E17FD">
        <w:rPr>
          <w:rFonts w:ascii="Times New Roman" w:hAnsi="Times New Roman"/>
          <w:b/>
          <w:sz w:val="24"/>
          <w:lang w:val="bg-BG"/>
        </w:rPr>
        <w:t>бордът завършва с въвеждането на еврото при същия курс</w:t>
      </w:r>
      <w:r w:rsidRPr="00E948E7">
        <w:rPr>
          <w:rFonts w:ascii="Times New Roman" w:hAnsi="Times New Roman"/>
          <w:sz w:val="24"/>
          <w:lang w:val="bg-BG"/>
        </w:rPr>
        <w:t>, поради факта, че самият борд гарантира стабилността на обменния курс между лев и евро.</w:t>
      </w:r>
    </w:p>
    <w:sectPr w:rsidR="009D36DF" w:rsidRPr="0036127B" w:rsidSect="00D3356F">
      <w:footerReference w:type="default" r:id="rId8"/>
      <w:headerReference w:type="first" r:id="rId9"/>
      <w:footerReference w:type="first" r:id="rId10"/>
      <w:pgSz w:w="11906" w:h="16838" w:code="9"/>
      <w:pgMar w:top="1134" w:right="1134" w:bottom="1134" w:left="1134" w:header="420"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2A" w:rsidRDefault="00C7292A">
      <w:r>
        <w:separator/>
      </w:r>
    </w:p>
  </w:endnote>
  <w:endnote w:type="continuationSeparator" w:id="0">
    <w:p w:rsidR="00C7292A" w:rsidRDefault="00C7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455983600"/>
      <w:docPartObj>
        <w:docPartGallery w:val="Page Numbers (Bottom of Page)"/>
        <w:docPartUnique/>
      </w:docPartObj>
    </w:sdtPr>
    <w:sdtEndPr>
      <w:rPr>
        <w:noProof/>
      </w:rPr>
    </w:sdtEndPr>
    <w:sdtContent>
      <w:p w:rsidR="00930F88" w:rsidRPr="0036127B" w:rsidRDefault="00930F88">
        <w:pPr>
          <w:pStyle w:val="Footer"/>
          <w:jc w:val="right"/>
          <w:rPr>
            <w:rFonts w:ascii="Times New Roman" w:hAnsi="Times New Roman"/>
            <w:sz w:val="24"/>
          </w:rPr>
        </w:pPr>
        <w:r w:rsidRPr="0036127B">
          <w:rPr>
            <w:rFonts w:ascii="Times New Roman" w:hAnsi="Times New Roman"/>
            <w:sz w:val="24"/>
          </w:rPr>
          <w:fldChar w:fldCharType="begin"/>
        </w:r>
        <w:r w:rsidRPr="0036127B">
          <w:rPr>
            <w:rFonts w:ascii="Times New Roman" w:hAnsi="Times New Roman"/>
            <w:sz w:val="24"/>
          </w:rPr>
          <w:instrText xml:space="preserve"> PAGE   \* MERGEFORMAT </w:instrText>
        </w:r>
        <w:r w:rsidRPr="0036127B">
          <w:rPr>
            <w:rFonts w:ascii="Times New Roman" w:hAnsi="Times New Roman"/>
            <w:sz w:val="24"/>
          </w:rPr>
          <w:fldChar w:fldCharType="separate"/>
        </w:r>
        <w:r w:rsidR="000E17FD">
          <w:rPr>
            <w:rFonts w:ascii="Times New Roman" w:hAnsi="Times New Roman"/>
            <w:noProof/>
            <w:sz w:val="24"/>
          </w:rPr>
          <w:t>2</w:t>
        </w:r>
        <w:r w:rsidRPr="0036127B">
          <w:rPr>
            <w:rFonts w:ascii="Times New Roman" w:hAnsi="Times New Roman"/>
            <w:noProof/>
            <w:sz w:val="24"/>
          </w:rPr>
          <w:fldChar w:fldCharType="end"/>
        </w:r>
      </w:p>
    </w:sdtContent>
  </w:sdt>
  <w:p w:rsidR="00930F88" w:rsidRDefault="00930F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5E4" w:rsidRDefault="00B27F74" w:rsidP="00957640">
    <w:pPr>
      <w:pBdr>
        <w:top w:val="single" w:sz="4" w:space="0" w:color="auto"/>
      </w:pBdr>
      <w:spacing w:line="240" w:lineRule="auto"/>
      <w:ind w:right="-2" w:firstLine="0"/>
      <w:jc w:val="center"/>
      <w:rPr>
        <w:rFonts w:ascii="Palatino Linotype" w:hAnsi="Palatino Linotype"/>
        <w:sz w:val="18"/>
        <w:szCs w:val="18"/>
        <w:lang w:val="bg-BG"/>
      </w:rPr>
    </w:pPr>
    <w:r>
      <w:rPr>
        <w:rFonts w:ascii="Palatino Linotype" w:hAnsi="Palatino Linotype"/>
        <w:sz w:val="18"/>
        <w:szCs w:val="18"/>
        <w:lang w:val="bg-BG"/>
      </w:rPr>
      <w:t>Фискален съвет</w:t>
    </w:r>
    <w:r w:rsidR="008B05E4" w:rsidRPr="00A7543A">
      <w:rPr>
        <w:rFonts w:ascii="Palatino Linotype" w:hAnsi="Palatino Linotype"/>
        <w:sz w:val="18"/>
        <w:szCs w:val="18"/>
        <w:lang w:val="bg-BG"/>
      </w:rPr>
      <w:t xml:space="preserve"> на Бъл</w:t>
    </w:r>
    <w:r w:rsidR="008B05E4">
      <w:rPr>
        <w:rFonts w:ascii="Palatino Linotype" w:hAnsi="Palatino Linotype"/>
        <w:sz w:val="18"/>
        <w:szCs w:val="18"/>
        <w:lang w:val="bg-BG"/>
      </w:rPr>
      <w:t>гария,</w:t>
    </w:r>
    <w:r w:rsidR="00E060A0" w:rsidRPr="00E060A0">
      <w:t xml:space="preserve"> </w:t>
    </w:r>
    <w:r w:rsidR="000B491B" w:rsidRPr="000B491B">
      <w:rPr>
        <w:rFonts w:ascii="Palatino Linotype" w:hAnsi="Palatino Linotype"/>
        <w:sz w:val="18"/>
        <w:szCs w:val="18"/>
        <w:lang w:val="bg-BG"/>
      </w:rPr>
      <w:t>пл. „Народно събрание“ №</w:t>
    </w:r>
    <w:r w:rsidR="000B491B">
      <w:rPr>
        <w:rFonts w:ascii="Palatino Linotype" w:hAnsi="Palatino Linotype"/>
        <w:sz w:val="18"/>
        <w:szCs w:val="18"/>
        <w:lang w:val="bg-BG"/>
      </w:rPr>
      <w:t xml:space="preserve"> </w:t>
    </w:r>
    <w:r w:rsidR="000B491B" w:rsidRPr="000B491B">
      <w:rPr>
        <w:rFonts w:ascii="Palatino Linotype" w:hAnsi="Palatino Linotype"/>
        <w:sz w:val="18"/>
        <w:szCs w:val="18"/>
        <w:lang w:val="bg-BG"/>
      </w:rPr>
      <w:t>2</w:t>
    </w:r>
    <w:r w:rsidR="008B05E4" w:rsidRPr="000B491B">
      <w:rPr>
        <w:rFonts w:ascii="Palatino Linotype" w:hAnsi="Palatino Linotype"/>
        <w:sz w:val="18"/>
        <w:szCs w:val="18"/>
        <w:lang w:val="bg-BG"/>
      </w:rPr>
      <w:t>,</w:t>
    </w:r>
    <w:r w:rsidR="008B05E4">
      <w:rPr>
        <w:rFonts w:ascii="Palatino Linotype" w:hAnsi="Palatino Linotype"/>
        <w:sz w:val="18"/>
        <w:szCs w:val="18"/>
        <w:lang w:val="bg-BG"/>
      </w:rPr>
      <w:t xml:space="preserve"> София 1169</w:t>
    </w:r>
  </w:p>
  <w:p w:rsidR="008B05E4" w:rsidRPr="00937628" w:rsidRDefault="008B05E4" w:rsidP="00454D58">
    <w:pPr>
      <w:pBdr>
        <w:top w:val="single" w:sz="4" w:space="0" w:color="auto"/>
      </w:pBdr>
      <w:spacing w:line="240" w:lineRule="auto"/>
      <w:ind w:right="-2" w:firstLine="0"/>
      <w:jc w:val="center"/>
      <w:rPr>
        <w:rFonts w:ascii="Palatino Linotype" w:hAnsi="Palatino Linotype"/>
        <w:i/>
        <w:sz w:val="18"/>
        <w:szCs w:val="18"/>
        <w:lang w:val="bg-BG"/>
      </w:rPr>
    </w:pPr>
    <w:r w:rsidRPr="00937628">
      <w:rPr>
        <w:rFonts w:ascii="Palatino Linotype" w:hAnsi="Palatino Linotype"/>
        <w:i/>
        <w:sz w:val="18"/>
        <w:szCs w:val="18"/>
        <w:lang w:val="bg-BG"/>
      </w:rPr>
      <w:t xml:space="preserve">тел.: </w:t>
    </w:r>
    <w:r w:rsidR="00B557B5" w:rsidRPr="00B557B5">
      <w:rPr>
        <w:rFonts w:ascii="Palatino Linotype" w:hAnsi="Palatino Linotype"/>
        <w:i/>
        <w:sz w:val="18"/>
        <w:szCs w:val="18"/>
        <w:lang w:val="bg-BG"/>
      </w:rPr>
      <w:t>02/939 2192</w:t>
    </w:r>
    <w:r w:rsidR="00454D58">
      <w:rPr>
        <w:rFonts w:ascii="Palatino Linotype" w:hAnsi="Palatino Linotype"/>
        <w:i/>
        <w:sz w:val="18"/>
        <w:szCs w:val="18"/>
        <w:lang w:val="bg-BG"/>
      </w:rPr>
      <w:t xml:space="preserve">; </w:t>
    </w:r>
    <w:r w:rsidRPr="00937628">
      <w:rPr>
        <w:rFonts w:ascii="Palatino Linotype" w:hAnsi="Palatino Linotype"/>
        <w:i/>
        <w:sz w:val="18"/>
        <w:szCs w:val="18"/>
        <w:lang w:val="en-US"/>
      </w:rPr>
      <w:t>e</w:t>
    </w:r>
    <w:r w:rsidRPr="00937628">
      <w:rPr>
        <w:rFonts w:ascii="Palatino Linotype" w:hAnsi="Palatino Linotype"/>
        <w:i/>
        <w:sz w:val="18"/>
        <w:szCs w:val="18"/>
        <w:lang w:val="bg-BG"/>
      </w:rPr>
      <w:t>-</w:t>
    </w:r>
    <w:r w:rsidRPr="00937628">
      <w:rPr>
        <w:rFonts w:ascii="Palatino Linotype" w:hAnsi="Palatino Linotype"/>
        <w:i/>
        <w:sz w:val="18"/>
        <w:szCs w:val="18"/>
        <w:lang w:val="en-US"/>
      </w:rPr>
      <w:t>mail</w:t>
    </w:r>
    <w:r w:rsidRPr="00937628">
      <w:rPr>
        <w:rFonts w:ascii="Palatino Linotype" w:hAnsi="Palatino Linotype"/>
        <w:i/>
        <w:sz w:val="18"/>
        <w:szCs w:val="18"/>
        <w:lang w:val="bg-BG"/>
      </w:rPr>
      <w:t xml:space="preserve">: </w:t>
    </w:r>
    <w:r w:rsidR="00454D58" w:rsidRPr="00454D58">
      <w:rPr>
        <w:rFonts w:ascii="Palatino Linotype" w:hAnsi="Palatino Linotype"/>
        <w:i/>
        <w:sz w:val="18"/>
        <w:szCs w:val="18"/>
        <w:lang w:val="bg-BG"/>
      </w:rPr>
      <w:t>fiscal.council@parliament.bg</w:t>
    </w:r>
  </w:p>
  <w:p w:rsidR="008B05E4" w:rsidRPr="002E0A6B" w:rsidRDefault="008B05E4" w:rsidP="00957640">
    <w:pPr>
      <w:pBdr>
        <w:top w:val="single" w:sz="4" w:space="0" w:color="auto"/>
      </w:pBdr>
      <w:spacing w:line="240" w:lineRule="auto"/>
      <w:ind w:right="-2" w:firstLine="0"/>
      <w:jc w:val="center"/>
      <w:rPr>
        <w:rFonts w:ascii="Palatino Linotype" w:hAnsi="Palatino Linotype"/>
        <w:sz w:val="18"/>
        <w:szCs w:val="18"/>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2A" w:rsidRDefault="00C7292A">
      <w:r>
        <w:separator/>
      </w:r>
    </w:p>
  </w:footnote>
  <w:footnote w:type="continuationSeparator" w:id="0">
    <w:p w:rsidR="00C7292A" w:rsidRDefault="00C729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5E4" w:rsidRPr="0058711C" w:rsidRDefault="003B082E" w:rsidP="00DF3344">
    <w:pPr>
      <w:spacing w:line="240" w:lineRule="auto"/>
      <w:ind w:left="-284" w:right="72" w:firstLine="2411"/>
      <w:rPr>
        <w:rFonts w:ascii="Palatino Linotype" w:hAnsi="Palatino Linotype"/>
        <w:b/>
        <w:bCs/>
        <w:sz w:val="28"/>
        <w:szCs w:val="28"/>
        <w:lang w:val="bg-BG"/>
      </w:rPr>
    </w:pPr>
    <w:r w:rsidRPr="0058711C">
      <w:rPr>
        <w:rFonts w:ascii="Palatino Linotype" w:hAnsi="Palatino Linotype"/>
        <w:b/>
        <w:bCs/>
        <w:noProof/>
        <w:sz w:val="28"/>
        <w:szCs w:val="28"/>
        <w:lang w:val="en-US" w:eastAsia="en-US"/>
      </w:rPr>
      <w:drawing>
        <wp:anchor distT="0" distB="0" distL="114300" distR="114300" simplePos="0" relativeHeight="251657728" behindDoc="0" locked="0" layoutInCell="1" allowOverlap="1">
          <wp:simplePos x="0" y="0"/>
          <wp:positionH relativeFrom="column">
            <wp:posOffset>-151765</wp:posOffset>
          </wp:positionH>
          <wp:positionV relativeFrom="paragraph">
            <wp:posOffset>-219075</wp:posOffset>
          </wp:positionV>
          <wp:extent cx="1384300" cy="1033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1033145"/>
                  </a:xfrm>
                  <a:prstGeom prst="rect">
                    <a:avLst/>
                  </a:prstGeom>
                  <a:noFill/>
                </pic:spPr>
              </pic:pic>
            </a:graphicData>
          </a:graphic>
          <wp14:sizeRelH relativeFrom="page">
            <wp14:pctWidth>0</wp14:pctWidth>
          </wp14:sizeRelH>
          <wp14:sizeRelV relativeFrom="page">
            <wp14:pctHeight>0</wp14:pctHeight>
          </wp14:sizeRelV>
        </wp:anchor>
      </w:drawing>
    </w:r>
    <w:r w:rsidR="00DF3344" w:rsidRPr="0058711C">
      <w:rPr>
        <w:rFonts w:ascii="Palatino Linotype" w:hAnsi="Palatino Linotype"/>
        <w:b/>
        <w:bCs/>
        <w:sz w:val="28"/>
        <w:szCs w:val="28"/>
        <w:lang w:val="bg-BG"/>
      </w:rPr>
      <w:t>РЕПУБЛИКА БЪЛГАРИЯ</w:t>
    </w:r>
  </w:p>
  <w:p w:rsidR="00D3356F" w:rsidRPr="0058711C" w:rsidRDefault="00D3356F" w:rsidP="00957640">
    <w:pPr>
      <w:pBdr>
        <w:top w:val="single" w:sz="4" w:space="1" w:color="auto"/>
      </w:pBdr>
      <w:spacing w:line="240" w:lineRule="auto"/>
      <w:ind w:left="2127" w:right="72" w:firstLine="0"/>
      <w:rPr>
        <w:rFonts w:ascii="Palatino Linotype" w:hAnsi="Palatino Linotype"/>
        <w:b/>
        <w:bCs/>
        <w:sz w:val="28"/>
        <w:szCs w:val="28"/>
        <w:lang w:val="bg-BG"/>
      </w:rPr>
    </w:pPr>
    <w:r w:rsidRPr="0058711C">
      <w:rPr>
        <w:rFonts w:ascii="Palatino Linotype" w:hAnsi="Palatino Linotype"/>
        <w:b/>
        <w:bCs/>
        <w:sz w:val="28"/>
        <w:szCs w:val="28"/>
        <w:lang w:val="bg-BG"/>
      </w:rPr>
      <w:t>ФИСКАЛЕН СЪВЕТ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EF7"/>
    <w:multiLevelType w:val="hybridMultilevel"/>
    <w:tmpl w:val="FBB6145E"/>
    <w:lvl w:ilvl="0" w:tplc="930E0C7A">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15:restartNumberingAfterBreak="0">
    <w:nsid w:val="12917B89"/>
    <w:multiLevelType w:val="hybridMultilevel"/>
    <w:tmpl w:val="F32678D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19003931"/>
    <w:multiLevelType w:val="hybridMultilevel"/>
    <w:tmpl w:val="C554AE3E"/>
    <w:lvl w:ilvl="0" w:tplc="28CA5B8C">
      <w:start w:val="1"/>
      <w:numFmt w:val="decimal"/>
      <w:lvlText w:val="%1."/>
      <w:lvlJc w:val="left"/>
      <w:pPr>
        <w:tabs>
          <w:tab w:val="num" w:pos="1270"/>
        </w:tabs>
        <w:ind w:left="1270" w:hanging="360"/>
      </w:pPr>
      <w:rPr>
        <w:rFonts w:hint="default"/>
        <w:b w:val="0"/>
      </w:rPr>
    </w:lvl>
    <w:lvl w:ilvl="1" w:tplc="04020019" w:tentative="1">
      <w:start w:val="1"/>
      <w:numFmt w:val="lowerLetter"/>
      <w:lvlText w:val="%2."/>
      <w:lvlJc w:val="left"/>
      <w:pPr>
        <w:tabs>
          <w:tab w:val="num" w:pos="1990"/>
        </w:tabs>
        <w:ind w:left="1990" w:hanging="360"/>
      </w:pPr>
    </w:lvl>
    <w:lvl w:ilvl="2" w:tplc="0402001B" w:tentative="1">
      <w:start w:val="1"/>
      <w:numFmt w:val="lowerRoman"/>
      <w:lvlText w:val="%3."/>
      <w:lvlJc w:val="right"/>
      <w:pPr>
        <w:tabs>
          <w:tab w:val="num" w:pos="2710"/>
        </w:tabs>
        <w:ind w:left="2710" w:hanging="180"/>
      </w:pPr>
    </w:lvl>
    <w:lvl w:ilvl="3" w:tplc="0402000F" w:tentative="1">
      <w:start w:val="1"/>
      <w:numFmt w:val="decimal"/>
      <w:lvlText w:val="%4."/>
      <w:lvlJc w:val="left"/>
      <w:pPr>
        <w:tabs>
          <w:tab w:val="num" w:pos="3430"/>
        </w:tabs>
        <w:ind w:left="3430" w:hanging="360"/>
      </w:pPr>
    </w:lvl>
    <w:lvl w:ilvl="4" w:tplc="04020019" w:tentative="1">
      <w:start w:val="1"/>
      <w:numFmt w:val="lowerLetter"/>
      <w:lvlText w:val="%5."/>
      <w:lvlJc w:val="left"/>
      <w:pPr>
        <w:tabs>
          <w:tab w:val="num" w:pos="4150"/>
        </w:tabs>
        <w:ind w:left="4150" w:hanging="360"/>
      </w:pPr>
    </w:lvl>
    <w:lvl w:ilvl="5" w:tplc="0402001B" w:tentative="1">
      <w:start w:val="1"/>
      <w:numFmt w:val="lowerRoman"/>
      <w:lvlText w:val="%6."/>
      <w:lvlJc w:val="right"/>
      <w:pPr>
        <w:tabs>
          <w:tab w:val="num" w:pos="4870"/>
        </w:tabs>
        <w:ind w:left="4870" w:hanging="180"/>
      </w:pPr>
    </w:lvl>
    <w:lvl w:ilvl="6" w:tplc="0402000F" w:tentative="1">
      <w:start w:val="1"/>
      <w:numFmt w:val="decimal"/>
      <w:lvlText w:val="%7."/>
      <w:lvlJc w:val="left"/>
      <w:pPr>
        <w:tabs>
          <w:tab w:val="num" w:pos="5590"/>
        </w:tabs>
        <w:ind w:left="5590" w:hanging="360"/>
      </w:pPr>
    </w:lvl>
    <w:lvl w:ilvl="7" w:tplc="04020019" w:tentative="1">
      <w:start w:val="1"/>
      <w:numFmt w:val="lowerLetter"/>
      <w:lvlText w:val="%8."/>
      <w:lvlJc w:val="left"/>
      <w:pPr>
        <w:tabs>
          <w:tab w:val="num" w:pos="6310"/>
        </w:tabs>
        <w:ind w:left="6310" w:hanging="360"/>
      </w:pPr>
    </w:lvl>
    <w:lvl w:ilvl="8" w:tplc="0402001B" w:tentative="1">
      <w:start w:val="1"/>
      <w:numFmt w:val="lowerRoman"/>
      <w:lvlText w:val="%9."/>
      <w:lvlJc w:val="right"/>
      <w:pPr>
        <w:tabs>
          <w:tab w:val="num" w:pos="7030"/>
        </w:tabs>
        <w:ind w:left="7030" w:hanging="180"/>
      </w:pPr>
    </w:lvl>
  </w:abstractNum>
  <w:abstractNum w:abstractNumId="3" w15:restartNumberingAfterBreak="0">
    <w:nsid w:val="2E43729F"/>
    <w:multiLevelType w:val="hybridMultilevel"/>
    <w:tmpl w:val="027472E0"/>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15:restartNumberingAfterBreak="0">
    <w:nsid w:val="2EA52F06"/>
    <w:multiLevelType w:val="hybridMultilevel"/>
    <w:tmpl w:val="523A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8A0221"/>
    <w:multiLevelType w:val="hybridMultilevel"/>
    <w:tmpl w:val="307EC6F4"/>
    <w:lvl w:ilvl="0" w:tplc="FDF447AE">
      <w:start w:val="4"/>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B1555E"/>
    <w:multiLevelType w:val="hybridMultilevel"/>
    <w:tmpl w:val="820A367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39F954E4"/>
    <w:multiLevelType w:val="hybridMultilevel"/>
    <w:tmpl w:val="CEFE63F4"/>
    <w:lvl w:ilvl="0" w:tplc="3EDCF252">
      <w:start w:val="1"/>
      <w:numFmt w:val="bullet"/>
      <w:lvlText w:val="-"/>
      <w:lvlJc w:val="left"/>
      <w:pPr>
        <w:tabs>
          <w:tab w:val="num" w:pos="1117"/>
        </w:tabs>
        <w:ind w:left="1117" w:hanging="397"/>
      </w:pPr>
      <w:rPr>
        <w:rFonts w:ascii="Times New Roman" w:eastAsia="Times New Roman" w:hAnsi="Times New Roman" w:cs="Times New Roman" w:hint="default"/>
      </w:rPr>
    </w:lvl>
    <w:lvl w:ilvl="1" w:tplc="04020003" w:tentative="1">
      <w:start w:val="1"/>
      <w:numFmt w:val="bullet"/>
      <w:lvlText w:val="o"/>
      <w:lvlJc w:val="left"/>
      <w:pPr>
        <w:tabs>
          <w:tab w:val="num" w:pos="1423"/>
        </w:tabs>
        <w:ind w:left="1423" w:hanging="360"/>
      </w:pPr>
      <w:rPr>
        <w:rFonts w:ascii="Courier New" w:hAnsi="Courier New" w:cs="Courier New" w:hint="default"/>
      </w:rPr>
    </w:lvl>
    <w:lvl w:ilvl="2" w:tplc="04020005" w:tentative="1">
      <w:start w:val="1"/>
      <w:numFmt w:val="bullet"/>
      <w:lvlText w:val=""/>
      <w:lvlJc w:val="left"/>
      <w:pPr>
        <w:tabs>
          <w:tab w:val="num" w:pos="2143"/>
        </w:tabs>
        <w:ind w:left="2143" w:hanging="360"/>
      </w:pPr>
      <w:rPr>
        <w:rFonts w:ascii="Wingdings" w:hAnsi="Wingdings" w:hint="default"/>
      </w:rPr>
    </w:lvl>
    <w:lvl w:ilvl="3" w:tplc="04020001" w:tentative="1">
      <w:start w:val="1"/>
      <w:numFmt w:val="bullet"/>
      <w:lvlText w:val=""/>
      <w:lvlJc w:val="left"/>
      <w:pPr>
        <w:tabs>
          <w:tab w:val="num" w:pos="2863"/>
        </w:tabs>
        <w:ind w:left="2863" w:hanging="360"/>
      </w:pPr>
      <w:rPr>
        <w:rFonts w:ascii="Symbol" w:hAnsi="Symbol" w:hint="default"/>
      </w:rPr>
    </w:lvl>
    <w:lvl w:ilvl="4" w:tplc="04020003" w:tentative="1">
      <w:start w:val="1"/>
      <w:numFmt w:val="bullet"/>
      <w:lvlText w:val="o"/>
      <w:lvlJc w:val="left"/>
      <w:pPr>
        <w:tabs>
          <w:tab w:val="num" w:pos="3583"/>
        </w:tabs>
        <w:ind w:left="3583" w:hanging="360"/>
      </w:pPr>
      <w:rPr>
        <w:rFonts w:ascii="Courier New" w:hAnsi="Courier New" w:cs="Courier New" w:hint="default"/>
      </w:rPr>
    </w:lvl>
    <w:lvl w:ilvl="5" w:tplc="04020005" w:tentative="1">
      <w:start w:val="1"/>
      <w:numFmt w:val="bullet"/>
      <w:lvlText w:val=""/>
      <w:lvlJc w:val="left"/>
      <w:pPr>
        <w:tabs>
          <w:tab w:val="num" w:pos="4303"/>
        </w:tabs>
        <w:ind w:left="4303" w:hanging="360"/>
      </w:pPr>
      <w:rPr>
        <w:rFonts w:ascii="Wingdings" w:hAnsi="Wingdings" w:hint="default"/>
      </w:rPr>
    </w:lvl>
    <w:lvl w:ilvl="6" w:tplc="04020001" w:tentative="1">
      <w:start w:val="1"/>
      <w:numFmt w:val="bullet"/>
      <w:lvlText w:val=""/>
      <w:lvlJc w:val="left"/>
      <w:pPr>
        <w:tabs>
          <w:tab w:val="num" w:pos="5023"/>
        </w:tabs>
        <w:ind w:left="5023" w:hanging="360"/>
      </w:pPr>
      <w:rPr>
        <w:rFonts w:ascii="Symbol" w:hAnsi="Symbol" w:hint="default"/>
      </w:rPr>
    </w:lvl>
    <w:lvl w:ilvl="7" w:tplc="04020003" w:tentative="1">
      <w:start w:val="1"/>
      <w:numFmt w:val="bullet"/>
      <w:lvlText w:val="o"/>
      <w:lvlJc w:val="left"/>
      <w:pPr>
        <w:tabs>
          <w:tab w:val="num" w:pos="5743"/>
        </w:tabs>
        <w:ind w:left="5743" w:hanging="360"/>
      </w:pPr>
      <w:rPr>
        <w:rFonts w:ascii="Courier New" w:hAnsi="Courier New" w:cs="Courier New" w:hint="default"/>
      </w:rPr>
    </w:lvl>
    <w:lvl w:ilvl="8" w:tplc="04020005" w:tentative="1">
      <w:start w:val="1"/>
      <w:numFmt w:val="bullet"/>
      <w:lvlText w:val=""/>
      <w:lvlJc w:val="left"/>
      <w:pPr>
        <w:tabs>
          <w:tab w:val="num" w:pos="6463"/>
        </w:tabs>
        <w:ind w:left="6463"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3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D7"/>
    <w:rsid w:val="000027F5"/>
    <w:rsid w:val="00011DAA"/>
    <w:rsid w:val="0001335C"/>
    <w:rsid w:val="00016ADA"/>
    <w:rsid w:val="000376F0"/>
    <w:rsid w:val="00045921"/>
    <w:rsid w:val="00052462"/>
    <w:rsid w:val="000529CE"/>
    <w:rsid w:val="00062454"/>
    <w:rsid w:val="00062FDD"/>
    <w:rsid w:val="00065256"/>
    <w:rsid w:val="00080B6F"/>
    <w:rsid w:val="00097ECB"/>
    <w:rsid w:val="000A44CA"/>
    <w:rsid w:val="000A786B"/>
    <w:rsid w:val="000B30E3"/>
    <w:rsid w:val="000B491B"/>
    <w:rsid w:val="000B60F7"/>
    <w:rsid w:val="000C5046"/>
    <w:rsid w:val="000C5362"/>
    <w:rsid w:val="000D1D07"/>
    <w:rsid w:val="000D3B4D"/>
    <w:rsid w:val="000E0006"/>
    <w:rsid w:val="000E17FD"/>
    <w:rsid w:val="000E4FDD"/>
    <w:rsid w:val="000E6043"/>
    <w:rsid w:val="000E6CF5"/>
    <w:rsid w:val="000E7D8A"/>
    <w:rsid w:val="000F1C2C"/>
    <w:rsid w:val="000F3065"/>
    <w:rsid w:val="000F6932"/>
    <w:rsid w:val="001003EC"/>
    <w:rsid w:val="0010555F"/>
    <w:rsid w:val="00115980"/>
    <w:rsid w:val="00117884"/>
    <w:rsid w:val="00125125"/>
    <w:rsid w:val="00127340"/>
    <w:rsid w:val="00132FF7"/>
    <w:rsid w:val="00133BBB"/>
    <w:rsid w:val="00140036"/>
    <w:rsid w:val="00140268"/>
    <w:rsid w:val="001407EA"/>
    <w:rsid w:val="001461FD"/>
    <w:rsid w:val="00146D05"/>
    <w:rsid w:val="001479D1"/>
    <w:rsid w:val="001524D6"/>
    <w:rsid w:val="001540D2"/>
    <w:rsid w:val="00154E6D"/>
    <w:rsid w:val="00161F8B"/>
    <w:rsid w:val="00166A07"/>
    <w:rsid w:val="00172E93"/>
    <w:rsid w:val="00184695"/>
    <w:rsid w:val="00184A7C"/>
    <w:rsid w:val="00186E5E"/>
    <w:rsid w:val="001876D0"/>
    <w:rsid w:val="00193F84"/>
    <w:rsid w:val="00197699"/>
    <w:rsid w:val="001A086F"/>
    <w:rsid w:val="001A1344"/>
    <w:rsid w:val="001B2073"/>
    <w:rsid w:val="001B4158"/>
    <w:rsid w:val="001B6B41"/>
    <w:rsid w:val="001C7927"/>
    <w:rsid w:val="001C7C93"/>
    <w:rsid w:val="001D75BF"/>
    <w:rsid w:val="001E40EF"/>
    <w:rsid w:val="001F41D7"/>
    <w:rsid w:val="00217651"/>
    <w:rsid w:val="00220BBB"/>
    <w:rsid w:val="00222713"/>
    <w:rsid w:val="0022400B"/>
    <w:rsid w:val="002345D8"/>
    <w:rsid w:val="00244D9D"/>
    <w:rsid w:val="00253C90"/>
    <w:rsid w:val="0026653B"/>
    <w:rsid w:val="00266D50"/>
    <w:rsid w:val="0026735D"/>
    <w:rsid w:val="002760B0"/>
    <w:rsid w:val="00280CF4"/>
    <w:rsid w:val="0028513A"/>
    <w:rsid w:val="00285C54"/>
    <w:rsid w:val="0028708A"/>
    <w:rsid w:val="002959B5"/>
    <w:rsid w:val="002A3DEB"/>
    <w:rsid w:val="002A7381"/>
    <w:rsid w:val="002B30B6"/>
    <w:rsid w:val="002B778E"/>
    <w:rsid w:val="002C5B6C"/>
    <w:rsid w:val="002D4416"/>
    <w:rsid w:val="002D5308"/>
    <w:rsid w:val="002D6716"/>
    <w:rsid w:val="002E0A6B"/>
    <w:rsid w:val="002E2610"/>
    <w:rsid w:val="002E48E7"/>
    <w:rsid w:val="002F64F4"/>
    <w:rsid w:val="002F7DA7"/>
    <w:rsid w:val="003059E8"/>
    <w:rsid w:val="00306644"/>
    <w:rsid w:val="00324E14"/>
    <w:rsid w:val="0034156C"/>
    <w:rsid w:val="00344A6D"/>
    <w:rsid w:val="0036127B"/>
    <w:rsid w:val="00372C3D"/>
    <w:rsid w:val="00380157"/>
    <w:rsid w:val="00382999"/>
    <w:rsid w:val="00383BB8"/>
    <w:rsid w:val="00391213"/>
    <w:rsid w:val="0039340A"/>
    <w:rsid w:val="00393F59"/>
    <w:rsid w:val="003A64FB"/>
    <w:rsid w:val="003B082E"/>
    <w:rsid w:val="003B3314"/>
    <w:rsid w:val="003B35C6"/>
    <w:rsid w:val="003B3F8E"/>
    <w:rsid w:val="003B479D"/>
    <w:rsid w:val="003B7771"/>
    <w:rsid w:val="003C25B8"/>
    <w:rsid w:val="003C4FF2"/>
    <w:rsid w:val="003D2935"/>
    <w:rsid w:val="003D6EA1"/>
    <w:rsid w:val="003D7D6A"/>
    <w:rsid w:val="003D7FA3"/>
    <w:rsid w:val="003F1597"/>
    <w:rsid w:val="003F39BE"/>
    <w:rsid w:val="003F56CC"/>
    <w:rsid w:val="003F7664"/>
    <w:rsid w:val="00401813"/>
    <w:rsid w:val="004047E0"/>
    <w:rsid w:val="00404AC3"/>
    <w:rsid w:val="00406192"/>
    <w:rsid w:val="004113D1"/>
    <w:rsid w:val="00416A4F"/>
    <w:rsid w:val="004206ED"/>
    <w:rsid w:val="00423D5B"/>
    <w:rsid w:val="00432419"/>
    <w:rsid w:val="0043336F"/>
    <w:rsid w:val="00440E11"/>
    <w:rsid w:val="00454D58"/>
    <w:rsid w:val="00456323"/>
    <w:rsid w:val="00457E5B"/>
    <w:rsid w:val="00460040"/>
    <w:rsid w:val="00461D76"/>
    <w:rsid w:val="00476C4D"/>
    <w:rsid w:val="004800E3"/>
    <w:rsid w:val="004826CF"/>
    <w:rsid w:val="0049296D"/>
    <w:rsid w:val="004A461E"/>
    <w:rsid w:val="004A4704"/>
    <w:rsid w:val="004B1DED"/>
    <w:rsid w:val="004C0D98"/>
    <w:rsid w:val="004C0F2B"/>
    <w:rsid w:val="004C61B5"/>
    <w:rsid w:val="004D5A43"/>
    <w:rsid w:val="004E19C7"/>
    <w:rsid w:val="004E1FB9"/>
    <w:rsid w:val="004E3234"/>
    <w:rsid w:val="004E35D7"/>
    <w:rsid w:val="004E702B"/>
    <w:rsid w:val="004F4608"/>
    <w:rsid w:val="004F4B02"/>
    <w:rsid w:val="004F692D"/>
    <w:rsid w:val="00504302"/>
    <w:rsid w:val="00507097"/>
    <w:rsid w:val="00523155"/>
    <w:rsid w:val="005237EC"/>
    <w:rsid w:val="00524ACB"/>
    <w:rsid w:val="005335D2"/>
    <w:rsid w:val="00540F9B"/>
    <w:rsid w:val="00541A5E"/>
    <w:rsid w:val="005505C5"/>
    <w:rsid w:val="00557BD8"/>
    <w:rsid w:val="00564211"/>
    <w:rsid w:val="0058711C"/>
    <w:rsid w:val="005872F8"/>
    <w:rsid w:val="005902C6"/>
    <w:rsid w:val="00592581"/>
    <w:rsid w:val="00595837"/>
    <w:rsid w:val="00596793"/>
    <w:rsid w:val="00596983"/>
    <w:rsid w:val="00596E66"/>
    <w:rsid w:val="00597245"/>
    <w:rsid w:val="005A5B55"/>
    <w:rsid w:val="005B320C"/>
    <w:rsid w:val="005B3C6C"/>
    <w:rsid w:val="005B6C28"/>
    <w:rsid w:val="005B7B26"/>
    <w:rsid w:val="005C1B24"/>
    <w:rsid w:val="005C1C97"/>
    <w:rsid w:val="005C4CFA"/>
    <w:rsid w:val="005C7FCD"/>
    <w:rsid w:val="005D108E"/>
    <w:rsid w:val="005D778A"/>
    <w:rsid w:val="005E0EAE"/>
    <w:rsid w:val="005E226E"/>
    <w:rsid w:val="005F085D"/>
    <w:rsid w:val="005F1778"/>
    <w:rsid w:val="005F4827"/>
    <w:rsid w:val="00600AB1"/>
    <w:rsid w:val="006071C5"/>
    <w:rsid w:val="00615495"/>
    <w:rsid w:val="0061799B"/>
    <w:rsid w:val="00617B35"/>
    <w:rsid w:val="00623838"/>
    <w:rsid w:val="00633922"/>
    <w:rsid w:val="006422CE"/>
    <w:rsid w:val="006533E5"/>
    <w:rsid w:val="0065593E"/>
    <w:rsid w:val="00657DA9"/>
    <w:rsid w:val="00657F18"/>
    <w:rsid w:val="00670F9C"/>
    <w:rsid w:val="00673FC6"/>
    <w:rsid w:val="00675423"/>
    <w:rsid w:val="006906E4"/>
    <w:rsid w:val="006966F9"/>
    <w:rsid w:val="00697B0E"/>
    <w:rsid w:val="006A4859"/>
    <w:rsid w:val="006A6197"/>
    <w:rsid w:val="006B1632"/>
    <w:rsid w:val="006C2834"/>
    <w:rsid w:val="006C3709"/>
    <w:rsid w:val="006C407A"/>
    <w:rsid w:val="006F6841"/>
    <w:rsid w:val="006F6B13"/>
    <w:rsid w:val="00706E2A"/>
    <w:rsid w:val="00706EF7"/>
    <w:rsid w:val="007071F8"/>
    <w:rsid w:val="007112F0"/>
    <w:rsid w:val="00712204"/>
    <w:rsid w:val="007131E1"/>
    <w:rsid w:val="00714D79"/>
    <w:rsid w:val="00717EF6"/>
    <w:rsid w:val="00720DE2"/>
    <w:rsid w:val="00725808"/>
    <w:rsid w:val="007345CC"/>
    <w:rsid w:val="00737BBA"/>
    <w:rsid w:val="00740251"/>
    <w:rsid w:val="007508D3"/>
    <w:rsid w:val="007529F2"/>
    <w:rsid w:val="00764FDC"/>
    <w:rsid w:val="00766A2F"/>
    <w:rsid w:val="0077002C"/>
    <w:rsid w:val="007925AF"/>
    <w:rsid w:val="00793DAD"/>
    <w:rsid w:val="00794ABA"/>
    <w:rsid w:val="00795E1C"/>
    <w:rsid w:val="00797604"/>
    <w:rsid w:val="00797FE0"/>
    <w:rsid w:val="007A18E5"/>
    <w:rsid w:val="007B19C0"/>
    <w:rsid w:val="007B1B31"/>
    <w:rsid w:val="007B6110"/>
    <w:rsid w:val="007D04D9"/>
    <w:rsid w:val="007D1AD1"/>
    <w:rsid w:val="007E4530"/>
    <w:rsid w:val="007F68F4"/>
    <w:rsid w:val="00802A6F"/>
    <w:rsid w:val="00802EA9"/>
    <w:rsid w:val="00817134"/>
    <w:rsid w:val="00824597"/>
    <w:rsid w:val="0082533C"/>
    <w:rsid w:val="00840AEF"/>
    <w:rsid w:val="00841658"/>
    <w:rsid w:val="00850966"/>
    <w:rsid w:val="00850C53"/>
    <w:rsid w:val="008625DB"/>
    <w:rsid w:val="00862A72"/>
    <w:rsid w:val="00865950"/>
    <w:rsid w:val="008724F7"/>
    <w:rsid w:val="008738CE"/>
    <w:rsid w:val="00874FE0"/>
    <w:rsid w:val="00877663"/>
    <w:rsid w:val="00890E26"/>
    <w:rsid w:val="0089371D"/>
    <w:rsid w:val="008B05E4"/>
    <w:rsid w:val="008B4ACA"/>
    <w:rsid w:val="008B4D1C"/>
    <w:rsid w:val="008C74DB"/>
    <w:rsid w:val="008D302B"/>
    <w:rsid w:val="008D405C"/>
    <w:rsid w:val="008D49BD"/>
    <w:rsid w:val="008D49DE"/>
    <w:rsid w:val="008D67A3"/>
    <w:rsid w:val="008E7DD8"/>
    <w:rsid w:val="008F38B4"/>
    <w:rsid w:val="008F6EA5"/>
    <w:rsid w:val="00913E46"/>
    <w:rsid w:val="00916049"/>
    <w:rsid w:val="009202FC"/>
    <w:rsid w:val="00924D00"/>
    <w:rsid w:val="0092557E"/>
    <w:rsid w:val="00927CE7"/>
    <w:rsid w:val="00930F88"/>
    <w:rsid w:val="009326AC"/>
    <w:rsid w:val="0093645C"/>
    <w:rsid w:val="009372A7"/>
    <w:rsid w:val="00937628"/>
    <w:rsid w:val="0094119D"/>
    <w:rsid w:val="00943D78"/>
    <w:rsid w:val="00945EF8"/>
    <w:rsid w:val="009515A3"/>
    <w:rsid w:val="00953155"/>
    <w:rsid w:val="00957640"/>
    <w:rsid w:val="00967C41"/>
    <w:rsid w:val="00971BBA"/>
    <w:rsid w:val="00980E6A"/>
    <w:rsid w:val="009846DA"/>
    <w:rsid w:val="009941DA"/>
    <w:rsid w:val="0099441B"/>
    <w:rsid w:val="00994685"/>
    <w:rsid w:val="009952BA"/>
    <w:rsid w:val="00995D0C"/>
    <w:rsid w:val="00996C55"/>
    <w:rsid w:val="009B7B9A"/>
    <w:rsid w:val="009C1F4D"/>
    <w:rsid w:val="009C32D4"/>
    <w:rsid w:val="009C4E99"/>
    <w:rsid w:val="009C723A"/>
    <w:rsid w:val="009D36DF"/>
    <w:rsid w:val="009D56BC"/>
    <w:rsid w:val="009E1A45"/>
    <w:rsid w:val="009F3FEB"/>
    <w:rsid w:val="009F43BF"/>
    <w:rsid w:val="009F4941"/>
    <w:rsid w:val="00A11504"/>
    <w:rsid w:val="00A14018"/>
    <w:rsid w:val="00A17C72"/>
    <w:rsid w:val="00A2135B"/>
    <w:rsid w:val="00A22815"/>
    <w:rsid w:val="00A379D7"/>
    <w:rsid w:val="00A40566"/>
    <w:rsid w:val="00A44500"/>
    <w:rsid w:val="00A46374"/>
    <w:rsid w:val="00A53329"/>
    <w:rsid w:val="00A616CA"/>
    <w:rsid w:val="00A700B3"/>
    <w:rsid w:val="00A71051"/>
    <w:rsid w:val="00A74EC9"/>
    <w:rsid w:val="00A7543A"/>
    <w:rsid w:val="00A81B77"/>
    <w:rsid w:val="00A82EC3"/>
    <w:rsid w:val="00A877AF"/>
    <w:rsid w:val="00A94966"/>
    <w:rsid w:val="00AA005A"/>
    <w:rsid w:val="00AA3151"/>
    <w:rsid w:val="00AC46DB"/>
    <w:rsid w:val="00AC557A"/>
    <w:rsid w:val="00AC7BC6"/>
    <w:rsid w:val="00AD1241"/>
    <w:rsid w:val="00AD34CD"/>
    <w:rsid w:val="00AE7856"/>
    <w:rsid w:val="00AF08BE"/>
    <w:rsid w:val="00AF7BF6"/>
    <w:rsid w:val="00B05309"/>
    <w:rsid w:val="00B125D9"/>
    <w:rsid w:val="00B1319F"/>
    <w:rsid w:val="00B22B20"/>
    <w:rsid w:val="00B27F74"/>
    <w:rsid w:val="00B30874"/>
    <w:rsid w:val="00B34B80"/>
    <w:rsid w:val="00B54844"/>
    <w:rsid w:val="00B5484D"/>
    <w:rsid w:val="00B557B5"/>
    <w:rsid w:val="00B74FBF"/>
    <w:rsid w:val="00B772A8"/>
    <w:rsid w:val="00B778C7"/>
    <w:rsid w:val="00BA155D"/>
    <w:rsid w:val="00BA1A15"/>
    <w:rsid w:val="00BB2BBF"/>
    <w:rsid w:val="00BB37BF"/>
    <w:rsid w:val="00BB466F"/>
    <w:rsid w:val="00BC4223"/>
    <w:rsid w:val="00BD19AB"/>
    <w:rsid w:val="00BD659D"/>
    <w:rsid w:val="00BD7304"/>
    <w:rsid w:val="00BE524F"/>
    <w:rsid w:val="00BE5FCE"/>
    <w:rsid w:val="00BF75AB"/>
    <w:rsid w:val="00C00A38"/>
    <w:rsid w:val="00C033BC"/>
    <w:rsid w:val="00C15395"/>
    <w:rsid w:val="00C15D31"/>
    <w:rsid w:val="00C20777"/>
    <w:rsid w:val="00C25B85"/>
    <w:rsid w:val="00C303EC"/>
    <w:rsid w:val="00C3077C"/>
    <w:rsid w:val="00C31D1F"/>
    <w:rsid w:val="00C3520C"/>
    <w:rsid w:val="00C42EBF"/>
    <w:rsid w:val="00C475EF"/>
    <w:rsid w:val="00C6028B"/>
    <w:rsid w:val="00C62E66"/>
    <w:rsid w:val="00C63EEA"/>
    <w:rsid w:val="00C72359"/>
    <w:rsid w:val="00C7292A"/>
    <w:rsid w:val="00C73697"/>
    <w:rsid w:val="00C74045"/>
    <w:rsid w:val="00C74207"/>
    <w:rsid w:val="00C76068"/>
    <w:rsid w:val="00C76DA9"/>
    <w:rsid w:val="00C81297"/>
    <w:rsid w:val="00C83063"/>
    <w:rsid w:val="00C843AF"/>
    <w:rsid w:val="00C86C8E"/>
    <w:rsid w:val="00C86FD2"/>
    <w:rsid w:val="00C911A9"/>
    <w:rsid w:val="00C95963"/>
    <w:rsid w:val="00C96324"/>
    <w:rsid w:val="00CA0575"/>
    <w:rsid w:val="00CB0496"/>
    <w:rsid w:val="00CC05F7"/>
    <w:rsid w:val="00CC20A0"/>
    <w:rsid w:val="00CC64ED"/>
    <w:rsid w:val="00CD2486"/>
    <w:rsid w:val="00CD3669"/>
    <w:rsid w:val="00CD612E"/>
    <w:rsid w:val="00CE5323"/>
    <w:rsid w:val="00CF0253"/>
    <w:rsid w:val="00CF70FD"/>
    <w:rsid w:val="00D07D7C"/>
    <w:rsid w:val="00D1058C"/>
    <w:rsid w:val="00D15A93"/>
    <w:rsid w:val="00D1772C"/>
    <w:rsid w:val="00D27093"/>
    <w:rsid w:val="00D3356F"/>
    <w:rsid w:val="00D35FB1"/>
    <w:rsid w:val="00D360BF"/>
    <w:rsid w:val="00D434B0"/>
    <w:rsid w:val="00D468A8"/>
    <w:rsid w:val="00D50D2B"/>
    <w:rsid w:val="00D50FBC"/>
    <w:rsid w:val="00D5286B"/>
    <w:rsid w:val="00D5638F"/>
    <w:rsid w:val="00D564C5"/>
    <w:rsid w:val="00D64809"/>
    <w:rsid w:val="00D66679"/>
    <w:rsid w:val="00D75BFB"/>
    <w:rsid w:val="00D85A13"/>
    <w:rsid w:val="00D96A65"/>
    <w:rsid w:val="00DA2DCC"/>
    <w:rsid w:val="00DC291E"/>
    <w:rsid w:val="00DC2E1A"/>
    <w:rsid w:val="00DC73AE"/>
    <w:rsid w:val="00DD31CC"/>
    <w:rsid w:val="00DF31DB"/>
    <w:rsid w:val="00DF3344"/>
    <w:rsid w:val="00DF343F"/>
    <w:rsid w:val="00DF3B27"/>
    <w:rsid w:val="00DF4308"/>
    <w:rsid w:val="00DF5688"/>
    <w:rsid w:val="00E05814"/>
    <w:rsid w:val="00E060A0"/>
    <w:rsid w:val="00E07E71"/>
    <w:rsid w:val="00E16750"/>
    <w:rsid w:val="00E17F19"/>
    <w:rsid w:val="00E23CFD"/>
    <w:rsid w:val="00E266AD"/>
    <w:rsid w:val="00E27787"/>
    <w:rsid w:val="00E32A52"/>
    <w:rsid w:val="00E32AAC"/>
    <w:rsid w:val="00E32CB8"/>
    <w:rsid w:val="00E368E4"/>
    <w:rsid w:val="00E372B1"/>
    <w:rsid w:val="00E434C1"/>
    <w:rsid w:val="00E43DAF"/>
    <w:rsid w:val="00E45D09"/>
    <w:rsid w:val="00E57C75"/>
    <w:rsid w:val="00E57E0D"/>
    <w:rsid w:val="00E64B3C"/>
    <w:rsid w:val="00E65784"/>
    <w:rsid w:val="00E740CB"/>
    <w:rsid w:val="00E85FE7"/>
    <w:rsid w:val="00E874DC"/>
    <w:rsid w:val="00E91531"/>
    <w:rsid w:val="00E948E7"/>
    <w:rsid w:val="00EB4B1E"/>
    <w:rsid w:val="00EB5A43"/>
    <w:rsid w:val="00EC192C"/>
    <w:rsid w:val="00EC47E2"/>
    <w:rsid w:val="00ED0B61"/>
    <w:rsid w:val="00ED45D5"/>
    <w:rsid w:val="00ED6D8A"/>
    <w:rsid w:val="00F06A79"/>
    <w:rsid w:val="00F12B99"/>
    <w:rsid w:val="00F169EC"/>
    <w:rsid w:val="00F25200"/>
    <w:rsid w:val="00F25A92"/>
    <w:rsid w:val="00F25E40"/>
    <w:rsid w:val="00F40BA2"/>
    <w:rsid w:val="00F43B26"/>
    <w:rsid w:val="00F456D8"/>
    <w:rsid w:val="00F461B4"/>
    <w:rsid w:val="00F47B80"/>
    <w:rsid w:val="00F5321C"/>
    <w:rsid w:val="00F610AC"/>
    <w:rsid w:val="00F63550"/>
    <w:rsid w:val="00F72696"/>
    <w:rsid w:val="00F72AA8"/>
    <w:rsid w:val="00F73ACE"/>
    <w:rsid w:val="00F837F4"/>
    <w:rsid w:val="00F86A19"/>
    <w:rsid w:val="00F946C4"/>
    <w:rsid w:val="00F962FC"/>
    <w:rsid w:val="00F9694F"/>
    <w:rsid w:val="00FA4762"/>
    <w:rsid w:val="00FA6960"/>
    <w:rsid w:val="00FB12E6"/>
    <w:rsid w:val="00FB3A26"/>
    <w:rsid w:val="00FC488A"/>
    <w:rsid w:val="00FD2FBA"/>
    <w:rsid w:val="00FD3B0E"/>
    <w:rsid w:val="00FD45FF"/>
    <w:rsid w:val="00FD7F2E"/>
    <w:rsid w:val="00FE5918"/>
    <w:rsid w:val="00FE669B"/>
    <w:rsid w:val="00FF64B7"/>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C5A7ED"/>
  <w15:chartTrackingRefBased/>
  <w15:docId w15:val="{579631B5-89D6-4278-A5A9-7F55C14A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640"/>
    <w:pPr>
      <w:autoSpaceDE w:val="0"/>
      <w:autoSpaceDN w:val="0"/>
      <w:spacing w:line="360" w:lineRule="auto"/>
      <w:ind w:firstLine="720"/>
      <w:jc w:val="both"/>
    </w:pPr>
    <w:rPr>
      <w:rFonts w:ascii="Calibri" w:hAnsi="Calibri"/>
      <w:sz w:val="26"/>
      <w:szCs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1B77"/>
    <w:pPr>
      <w:tabs>
        <w:tab w:val="center" w:pos="4536"/>
        <w:tab w:val="right" w:pos="9072"/>
      </w:tabs>
    </w:pPr>
  </w:style>
  <w:style w:type="paragraph" w:styleId="Footer">
    <w:name w:val="footer"/>
    <w:basedOn w:val="Normal"/>
    <w:link w:val="FooterChar"/>
    <w:uiPriority w:val="99"/>
    <w:rsid w:val="00A81B77"/>
    <w:pPr>
      <w:tabs>
        <w:tab w:val="center" w:pos="4536"/>
        <w:tab w:val="right" w:pos="9072"/>
      </w:tabs>
    </w:pPr>
  </w:style>
  <w:style w:type="paragraph" w:styleId="BalloonText">
    <w:name w:val="Balloon Text"/>
    <w:basedOn w:val="Normal"/>
    <w:semiHidden/>
    <w:rsid w:val="002F64F4"/>
    <w:rPr>
      <w:rFonts w:ascii="Tahoma" w:hAnsi="Tahoma" w:cs="Tahoma"/>
      <w:sz w:val="16"/>
      <w:szCs w:val="16"/>
    </w:rPr>
  </w:style>
  <w:style w:type="character" w:styleId="Hyperlink">
    <w:name w:val="Hyperlink"/>
    <w:rsid w:val="002E0A6B"/>
    <w:rPr>
      <w:color w:val="0000FF"/>
      <w:u w:val="single"/>
    </w:rPr>
  </w:style>
  <w:style w:type="paragraph" w:styleId="ListParagraph">
    <w:name w:val="List Paragraph"/>
    <w:basedOn w:val="Normal"/>
    <w:uiPriority w:val="34"/>
    <w:qFormat/>
    <w:rsid w:val="00E91531"/>
    <w:pPr>
      <w:autoSpaceDE/>
      <w:autoSpaceDN/>
      <w:spacing w:after="200" w:line="276" w:lineRule="auto"/>
      <w:ind w:left="720" w:firstLine="0"/>
      <w:contextualSpacing/>
      <w:jc w:val="left"/>
    </w:pPr>
    <w:rPr>
      <w:rFonts w:eastAsia="Calibri"/>
      <w:sz w:val="22"/>
      <w:szCs w:val="22"/>
      <w:lang w:val="bg-BG" w:eastAsia="en-US"/>
    </w:rPr>
  </w:style>
  <w:style w:type="character" w:customStyle="1" w:styleId="a">
    <w:name w:val="Неразрешено споменаване"/>
    <w:uiPriority w:val="99"/>
    <w:semiHidden/>
    <w:unhideWhenUsed/>
    <w:rsid w:val="00A2135B"/>
    <w:rPr>
      <w:color w:val="605E5C"/>
      <w:shd w:val="clear" w:color="auto" w:fill="E1DFDD"/>
    </w:rPr>
  </w:style>
  <w:style w:type="character" w:customStyle="1" w:styleId="UnresolvedMention1">
    <w:name w:val="Unresolved Mention1"/>
    <w:uiPriority w:val="99"/>
    <w:semiHidden/>
    <w:unhideWhenUsed/>
    <w:rsid w:val="00596983"/>
    <w:rPr>
      <w:color w:val="605E5C"/>
      <w:shd w:val="clear" w:color="auto" w:fill="E1DFDD"/>
    </w:rPr>
  </w:style>
  <w:style w:type="table" w:styleId="GridTable1Light">
    <w:name w:val="Grid Table 1 Light"/>
    <w:basedOn w:val="TableNormal"/>
    <w:uiPriority w:val="46"/>
    <w:rsid w:val="00E948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930F88"/>
    <w:rPr>
      <w:rFonts w:ascii="Calibri" w:hAnsi="Calibri"/>
      <w:sz w:val="26"/>
      <w:szCs w:val="24"/>
      <w:lang w:val="en-GB" w:eastAsia="bg-BG"/>
    </w:rPr>
  </w:style>
  <w:style w:type="paragraph" w:styleId="NormalWeb">
    <w:name w:val="Normal (Web)"/>
    <w:basedOn w:val="Normal"/>
    <w:uiPriority w:val="99"/>
    <w:unhideWhenUsed/>
    <w:rsid w:val="00C62E66"/>
    <w:pPr>
      <w:autoSpaceDE/>
      <w:autoSpaceDN/>
      <w:spacing w:before="100" w:beforeAutospacing="1" w:after="100" w:afterAutospacing="1" w:line="240" w:lineRule="auto"/>
      <w:ind w:firstLine="0"/>
      <w:jc w:val="left"/>
    </w:pPr>
    <w:rPr>
      <w:rFonts w:ascii="Times New Roman" w:hAnsi="Times New Roman"/>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653">
      <w:bodyDiv w:val="1"/>
      <w:marLeft w:val="0"/>
      <w:marRight w:val="0"/>
      <w:marTop w:val="0"/>
      <w:marBottom w:val="0"/>
      <w:divBdr>
        <w:top w:val="none" w:sz="0" w:space="0" w:color="auto"/>
        <w:left w:val="none" w:sz="0" w:space="0" w:color="auto"/>
        <w:bottom w:val="none" w:sz="0" w:space="0" w:color="auto"/>
        <w:right w:val="none" w:sz="0" w:space="0" w:color="auto"/>
      </w:divBdr>
    </w:div>
    <w:div w:id="1014573005">
      <w:bodyDiv w:val="1"/>
      <w:marLeft w:val="0"/>
      <w:marRight w:val="0"/>
      <w:marTop w:val="0"/>
      <w:marBottom w:val="0"/>
      <w:divBdr>
        <w:top w:val="none" w:sz="0" w:space="0" w:color="auto"/>
        <w:left w:val="none" w:sz="0" w:space="0" w:color="auto"/>
        <w:bottom w:val="none" w:sz="0" w:space="0" w:color="auto"/>
        <w:right w:val="none" w:sz="0" w:space="0" w:color="auto"/>
      </w:divBdr>
    </w:div>
    <w:div w:id="1100687048">
      <w:bodyDiv w:val="1"/>
      <w:marLeft w:val="0"/>
      <w:marRight w:val="0"/>
      <w:marTop w:val="0"/>
      <w:marBottom w:val="0"/>
      <w:divBdr>
        <w:top w:val="none" w:sz="0" w:space="0" w:color="auto"/>
        <w:left w:val="none" w:sz="0" w:space="0" w:color="auto"/>
        <w:bottom w:val="none" w:sz="0" w:space="0" w:color="auto"/>
        <w:right w:val="none" w:sz="0" w:space="0" w:color="auto"/>
      </w:divBdr>
    </w:div>
    <w:div w:id="1148128580">
      <w:bodyDiv w:val="1"/>
      <w:marLeft w:val="0"/>
      <w:marRight w:val="0"/>
      <w:marTop w:val="0"/>
      <w:marBottom w:val="0"/>
      <w:divBdr>
        <w:top w:val="none" w:sz="0" w:space="0" w:color="auto"/>
        <w:left w:val="none" w:sz="0" w:space="0" w:color="auto"/>
        <w:bottom w:val="none" w:sz="0" w:space="0" w:color="auto"/>
        <w:right w:val="none" w:sz="0" w:space="0" w:color="auto"/>
      </w:divBdr>
    </w:div>
    <w:div w:id="1180117887">
      <w:bodyDiv w:val="1"/>
      <w:marLeft w:val="0"/>
      <w:marRight w:val="0"/>
      <w:marTop w:val="0"/>
      <w:marBottom w:val="0"/>
      <w:divBdr>
        <w:top w:val="none" w:sz="0" w:space="0" w:color="auto"/>
        <w:left w:val="none" w:sz="0" w:space="0" w:color="auto"/>
        <w:bottom w:val="none" w:sz="0" w:space="0" w:color="auto"/>
        <w:right w:val="none" w:sz="0" w:space="0" w:color="auto"/>
      </w:divBdr>
    </w:div>
    <w:div w:id="14941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7EB87-583C-4652-90E9-5F2E7A2D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2905</Characters>
  <Application>Microsoft Office Word</Application>
  <DocSecurity>0</DocSecurity>
  <Lines>24</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NA</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vency</dc:creator>
  <cp:keywords/>
  <cp:lastModifiedBy>Гергана Дамянова</cp:lastModifiedBy>
  <cp:revision>7</cp:revision>
  <cp:lastPrinted>2023-07-14T07:59:00Z</cp:lastPrinted>
  <dcterms:created xsi:type="dcterms:W3CDTF">2025-05-30T10:53:00Z</dcterms:created>
  <dcterms:modified xsi:type="dcterms:W3CDTF">2025-05-30T11:11:00Z</dcterms:modified>
</cp:coreProperties>
</file>