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B305" w14:textId="77777777" w:rsidR="00C20B98" w:rsidRDefault="00C20B98" w:rsidP="00C60DB5">
      <w:pPr>
        <w:spacing w:after="0"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392EB689" w14:textId="77777777" w:rsidR="00C20B98" w:rsidRDefault="00C20B98" w:rsidP="00C60DB5">
      <w:pPr>
        <w:spacing w:after="0"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501D7904" w14:textId="77777777" w:rsidR="00C60DB5" w:rsidRDefault="003C18CB" w:rsidP="002153D4">
      <w:pPr>
        <w:spacing w:before="160" w:after="0" w:line="360" w:lineRule="auto"/>
        <w:jc w:val="center"/>
        <w:rPr>
          <w:rFonts w:ascii="Verdana" w:hAnsi="Verdana"/>
          <w:b/>
          <w:sz w:val="20"/>
        </w:rPr>
      </w:pPr>
      <w:r w:rsidRPr="003C18CB">
        <w:rPr>
          <w:rFonts w:ascii="Verdana" w:hAnsi="Verdana"/>
          <w:b/>
          <w:sz w:val="20"/>
          <w:lang w:val="bg-BG"/>
        </w:rPr>
        <w:t>ОБРАЗОВАНИЕТО В РЕПУБЛИКА БЪЛГАРИЯ</w:t>
      </w:r>
      <w:r>
        <w:rPr>
          <w:rFonts w:ascii="Verdana" w:hAnsi="Verdana"/>
          <w:b/>
          <w:sz w:val="20"/>
        </w:rPr>
        <w:t xml:space="preserve"> </w:t>
      </w:r>
    </w:p>
    <w:p w14:paraId="15B860BA" w14:textId="77777777" w:rsidR="003C18CB" w:rsidRDefault="003C18CB" w:rsidP="002153D4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3C18CB">
        <w:rPr>
          <w:rFonts w:ascii="Verdana" w:hAnsi="Verdana"/>
          <w:b/>
          <w:sz w:val="20"/>
          <w:lang w:val="bg-BG"/>
        </w:rPr>
        <w:t>ПРЕЗ УЧЕБНАТА 202</w:t>
      </w:r>
      <w:r w:rsidRPr="003C18CB">
        <w:rPr>
          <w:rFonts w:ascii="Verdana" w:hAnsi="Verdana"/>
          <w:b/>
          <w:sz w:val="20"/>
        </w:rPr>
        <w:t>4</w:t>
      </w:r>
      <w:r w:rsidRPr="003C18CB">
        <w:rPr>
          <w:rFonts w:ascii="Verdana" w:hAnsi="Verdana"/>
          <w:b/>
          <w:sz w:val="20"/>
          <w:lang w:val="bg-BG"/>
        </w:rPr>
        <w:t>/202</w:t>
      </w:r>
      <w:r w:rsidRPr="003C18CB">
        <w:rPr>
          <w:rFonts w:ascii="Verdana" w:hAnsi="Verdana"/>
          <w:b/>
          <w:sz w:val="20"/>
        </w:rPr>
        <w:t>5</w:t>
      </w:r>
      <w:r w:rsidRPr="003C18CB">
        <w:rPr>
          <w:rFonts w:ascii="Verdana" w:hAnsi="Verdana"/>
          <w:b/>
          <w:sz w:val="20"/>
          <w:lang w:val="bg-BG"/>
        </w:rPr>
        <w:t xml:space="preserve"> ГОДИНА</w:t>
      </w:r>
    </w:p>
    <w:p w14:paraId="5D6383FA" w14:textId="77777777" w:rsidR="003C18CB" w:rsidRPr="007B7AB3" w:rsidRDefault="003C18CB" w:rsidP="002153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B7AB3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Основните резултати от проведените от Националния статистически институт (НСИ) годишни изчерпателни изследвания, характеризиращи дейността на образователните институции, показват, че:</w:t>
      </w:r>
    </w:p>
    <w:p w14:paraId="00F73897" w14:textId="33DA2DC2" w:rsidR="007A780C" w:rsidRDefault="003C18CB" w:rsidP="002153D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B7AB3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учебната 2024/2025 година в предучилищното образование (детските градини и подготвителните групи в училищата) са записани 217.2 хил. деца;</w:t>
      </w:r>
    </w:p>
    <w:p w14:paraId="434D30E4" w14:textId="541A3462" w:rsidR="007A780C" w:rsidRPr="002153D4" w:rsidRDefault="00C87D5A" w:rsidP="002153D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2153D4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към 31.12.2024 г. в страната функционират 2 329 училища, в които са записани 713.5 хил. ученици;</w:t>
      </w:r>
    </w:p>
    <w:p w14:paraId="1749E370" w14:textId="22436261" w:rsidR="007A780C" w:rsidRPr="007A780C" w:rsidRDefault="00C87D5A" w:rsidP="002153D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основно образование през 2024 г. са завърши</w:t>
      </w:r>
      <w:r w:rsidR="0026092D" w:rsidRP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ли 59.8 хил. ученици, а </w:t>
      </w:r>
      <w:r w:rsidR="003A7792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="0026092D" w:rsidRP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средно</w:t>
      </w:r>
      <w:r w:rsidR="003A7792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- </w:t>
      </w:r>
      <w:r w:rsidRP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43.4 хил</w:t>
      </w:r>
      <w:r w:rsid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яди</w:t>
      </w:r>
      <w:r w:rsidR="003C18CB" w:rsidRPr="007A780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;</w:t>
      </w:r>
    </w:p>
    <w:p w14:paraId="0AF5FF77" w14:textId="2178FA40" w:rsidR="007A780C" w:rsidRPr="007A780C" w:rsidRDefault="003C18CB" w:rsidP="002153D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DB482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записаните в различните степени на висшето образование („професионален бакалавър“, „бакалавър“ и „магистър“) за академичната 2024/2025 година са 203.5 хиляди;</w:t>
      </w:r>
    </w:p>
    <w:p w14:paraId="75172499" w14:textId="3925336E" w:rsidR="00A13BCA" w:rsidRPr="00F75971" w:rsidRDefault="003C18CB" w:rsidP="002153D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DB482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към 31.12.2024 г. за придобиване на образователна и научна степен „доктор“ у нас се обучават 5 029 лица, от които 574 </w:t>
      </w:r>
      <w:r w:rsidR="00E81043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са </w:t>
      </w:r>
      <w:r w:rsidRPr="00E81043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чужди граждани.</w:t>
      </w:r>
    </w:p>
    <w:p w14:paraId="13E3F80C" w14:textId="77777777" w:rsidR="003C18CB" w:rsidRPr="00A13BCA" w:rsidRDefault="003C18CB" w:rsidP="002153D4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A13BC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t>Предучилищно образование</w:t>
      </w:r>
    </w:p>
    <w:p w14:paraId="2BAF9E95" w14:textId="352402FE" w:rsidR="003C18CB" w:rsidRPr="00A13BCA" w:rsidRDefault="003C18CB" w:rsidP="00A13B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Към 31.12.2024 г. в страната функционират 1 830 самостоятелни детски градини</w:t>
      </w:r>
      <w:r w:rsidR="00A761A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, от които 125 частни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 В предучилищно образование, провеждано в детските градини и подготвителните групи в училищата, са записани 217.2 хил. деца, от които 51.4% са момчета.</w:t>
      </w:r>
    </w:p>
    <w:p w14:paraId="0B6372C7" w14:textId="7D4879F7" w:rsidR="003C18CB" w:rsidRPr="00A13BCA" w:rsidRDefault="003C18CB" w:rsidP="00A13B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Обхватът на децата в това образователно ниво, изчислен чрез груповия нетен коефициент на записване</w:t>
      </w:r>
      <w:r w:rsidRPr="00B62C47">
        <w:rPr>
          <w:rFonts w:ascii="Verdana" w:eastAsia="Times New Roman" w:hAnsi="Verdana" w:cs="Times New Roman"/>
          <w:bCs/>
          <w:color w:val="000000"/>
          <w:sz w:val="20"/>
          <w:szCs w:val="20"/>
          <w:vertAlign w:val="superscript"/>
          <w:lang w:val="bg-BG" w:eastAsia="bg-BG"/>
        </w:rPr>
        <w:footnoteReference w:id="1"/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за учебната 2024/2025 година, е 88.6%. </w:t>
      </w:r>
      <w:r w:rsidR="0045595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Този показател е н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ай-висок в област Смолян (98.7%), а най-нисък </w:t>
      </w:r>
      <w:r w:rsidR="0045595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- 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в област Сливен (72.7%).</w:t>
      </w:r>
    </w:p>
    <w:p w14:paraId="5CF19B75" w14:textId="6A0E7A1C" w:rsidR="00A761AC" w:rsidRDefault="003C18CB" w:rsidP="00A761A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Средният брой деца в една самостоятелна детска градина за страната е 119, като в градовете е значително по-голям - 152, отколкото </w:t>
      </w:r>
      <w:r w:rsidR="00455957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е 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в селата - 62.</w:t>
      </w:r>
    </w:p>
    <w:p w14:paraId="35709508" w14:textId="62BD7F83" w:rsidR="00A13BCA" w:rsidRDefault="003C18CB" w:rsidP="00A13B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През учебната 2024/2025 година </w:t>
      </w:r>
      <w:r w:rsidR="00A761A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в частни образователни институции са записани 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6 596 деца, или 3.0% от </w:t>
      </w:r>
      <w:r w:rsidR="00A761A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всички 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записани</w:t>
      </w:r>
      <w:r w:rsidR="00A761AC" w:rsidRPr="00A761A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в предучилищно образование</w:t>
      </w:r>
      <w:r w:rsidRPr="00A13BC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3FD43F2A" w14:textId="2405935A" w:rsidR="003C18CB" w:rsidRPr="003C18CB" w:rsidRDefault="00E0205C" w:rsidP="002153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lang w:val="bg-BG"/>
        </w:rPr>
      </w:pPr>
      <w:r w:rsidRPr="001E015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Педагогическият персонал, зает в </w:t>
      </w:r>
      <w:r w:rsidR="009B4087" w:rsidRPr="00A761A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предучилищно образование</w:t>
      </w:r>
      <w:r w:rsidRPr="001E015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, е 20.9 хиляди</w:t>
      </w: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като д</w:t>
      </w:r>
      <w:r w:rsidRPr="001E015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етските учители са 86.2% от </w:t>
      </w: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общия брой</w:t>
      </w:r>
      <w:r w:rsidRPr="001E015A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.</w:t>
      </w:r>
    </w:p>
    <w:p w14:paraId="29301B72" w14:textId="77777777" w:rsidR="006D6E63" w:rsidRDefault="006D6E63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br w:type="page"/>
      </w:r>
    </w:p>
    <w:p w14:paraId="4C881642" w14:textId="0BD29879" w:rsidR="003C18CB" w:rsidRPr="003D42CD" w:rsidRDefault="003C18CB" w:rsidP="00DA4D47">
      <w:pPr>
        <w:spacing w:before="320" w:line="360" w:lineRule="auto"/>
        <w:ind w:left="567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t>Училищно образование</w:t>
      </w:r>
    </w:p>
    <w:p w14:paraId="1BCAC050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lastRenderedPageBreak/>
        <w:t>Към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31.12.2024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страната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функционират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2 329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които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129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начални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1 110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основни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70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обединени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114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гимназии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505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средни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21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изкуствата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25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спортни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355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професионални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гимназии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сравнение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предходната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година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общият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брой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намалява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12.</w:t>
      </w:r>
    </w:p>
    <w:p w14:paraId="4C408AD6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Броят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учениците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записани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във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всички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видове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713.5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хил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които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15.3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хил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записани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частни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Средно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една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паралелка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държавните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падат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21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ученици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частните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="0026092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14.</w:t>
      </w:r>
    </w:p>
    <w:p w14:paraId="631B2269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професионални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програми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записани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169.4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хил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.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ученици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като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сред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тях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преобладават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момчетата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="0026092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58.4%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общия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брой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2303FADA" w14:textId="77777777" w:rsidR="003C18CB" w:rsidRPr="003D42CD" w:rsidRDefault="003C18CB" w:rsidP="002153D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Обхватът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училищното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образование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изчислен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чрез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груповия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нетен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коефициент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записване</w:t>
      </w:r>
      <w:r w:rsidRPr="00B62C47">
        <w:rPr>
          <w:rFonts w:ascii="Verdana" w:eastAsia="Times New Roman" w:hAnsi="Verdana" w:cs="Times New Roman"/>
          <w:bCs/>
          <w:color w:val="000000"/>
          <w:sz w:val="20"/>
          <w:szCs w:val="20"/>
          <w:vertAlign w:val="superscript"/>
          <w:lang w:val="bg-BG" w:eastAsia="bg-BG"/>
        </w:rPr>
        <w:footnoteReference w:id="2"/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учебната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2024/2025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година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:</w:t>
      </w:r>
    </w:p>
    <w:p w14:paraId="6ABB3577" w14:textId="77777777" w:rsidR="003C18CB" w:rsidRPr="003D42CD" w:rsidRDefault="003C18CB" w:rsidP="00AD15D7">
      <w:p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eastAsia"/>
          <w:bCs/>
          <w:color w:val="000000"/>
          <w:sz w:val="20"/>
          <w:szCs w:val="20"/>
          <w:lang w:val="bg-BG" w:eastAsia="bg-BG"/>
        </w:rPr>
        <w:t>•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ab/>
      </w:r>
      <w:r w:rsidR="00DB482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92.7%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началния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етап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образование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,</w:t>
      </w:r>
    </w:p>
    <w:p w14:paraId="2AFEFFE2" w14:textId="77777777" w:rsidR="003C18CB" w:rsidRPr="003D42CD" w:rsidRDefault="003C18CB" w:rsidP="00AD15D7">
      <w:pPr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eastAsia"/>
          <w:bCs/>
          <w:color w:val="000000"/>
          <w:sz w:val="20"/>
          <w:szCs w:val="20"/>
          <w:lang w:val="bg-BG" w:eastAsia="bg-BG"/>
        </w:rPr>
        <w:t>•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ab/>
      </w:r>
      <w:r w:rsidR="00DB482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89.6%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прогимназиалния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етап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</w:t>
      </w:r>
    </w:p>
    <w:p w14:paraId="13AB38ED" w14:textId="77777777" w:rsidR="003C18CB" w:rsidRPr="003D42CD" w:rsidRDefault="003C18CB" w:rsidP="002153D4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eastAsia"/>
          <w:bCs/>
          <w:color w:val="000000"/>
          <w:sz w:val="20"/>
          <w:szCs w:val="20"/>
          <w:lang w:val="bg-BG" w:eastAsia="bg-BG"/>
        </w:rPr>
        <w:t>•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ab/>
      </w:r>
      <w:r w:rsidR="00DB482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84.7%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гимназиалния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етап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2AB39BF0" w14:textId="77777777" w:rsidR="00C60DB5" w:rsidRDefault="003C18CB" w:rsidP="00AD15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Коефициентът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гимназиалния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етап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възлиза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85.8%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момчетата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83.5%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за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момичетата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като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области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варира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93.1%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София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(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столица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)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до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57.2%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3D42CD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Сливен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477216BC" w14:textId="77777777" w:rsidR="003355C2" w:rsidRDefault="003355C2" w:rsidP="002153D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</w:p>
    <w:p w14:paraId="7EDF0E3F" w14:textId="7FF1C12F" w:rsidR="00B53EA0" w:rsidRPr="003C18CB" w:rsidRDefault="003C18CB" w:rsidP="002153D4">
      <w:pPr>
        <w:spacing w:line="360" w:lineRule="auto"/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/>
          <w:bCs/>
          <w:sz w:val="20"/>
          <w:lang w:val="bg-BG"/>
        </w:rPr>
        <w:t xml:space="preserve">Фиг. </w:t>
      </w:r>
      <w:r w:rsidR="00960986">
        <w:rPr>
          <w:rFonts w:ascii="Verdana" w:hAnsi="Verdana"/>
          <w:b/>
          <w:bCs/>
          <w:sz w:val="20"/>
        </w:rPr>
        <w:t>1</w:t>
      </w:r>
      <w:r w:rsidRPr="003C18CB">
        <w:rPr>
          <w:rFonts w:ascii="Verdana" w:hAnsi="Verdana"/>
          <w:b/>
          <w:bCs/>
          <w:sz w:val="20"/>
          <w:lang w:val="bg-BG"/>
        </w:rPr>
        <w:t>. Групов нетен коефициент на записване в гимназиален етап на о</w:t>
      </w:r>
      <w:r w:rsidR="00B53EA0">
        <w:rPr>
          <w:rFonts w:ascii="Verdana" w:hAnsi="Verdana"/>
          <w:b/>
          <w:bCs/>
          <w:sz w:val="20"/>
          <w:lang w:val="bg-BG"/>
        </w:rPr>
        <w:t>бразование по области</w:t>
      </w:r>
      <w:r w:rsidR="00E0205C">
        <w:rPr>
          <w:rFonts w:ascii="Verdana" w:hAnsi="Verdana"/>
          <w:b/>
          <w:bCs/>
          <w:sz w:val="20"/>
          <w:lang w:val="bg-BG"/>
        </w:rPr>
        <w:t>, 2024/2025 учебна година</w:t>
      </w:r>
    </w:p>
    <w:p w14:paraId="4E3292ED" w14:textId="77777777" w:rsidR="003C18CB" w:rsidRPr="003C18CB" w:rsidRDefault="00B53EA0" w:rsidP="003D42CD">
      <w:pPr>
        <w:jc w:val="center"/>
        <w:rPr>
          <w:rFonts w:ascii="Verdana" w:hAnsi="Verdana"/>
          <w:b/>
          <w:bCs/>
          <w:sz w:val="20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1AB274E" wp14:editId="6E0F9F5E">
            <wp:extent cx="5740842" cy="316461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3B7AAC" w14:textId="77777777" w:rsidR="00DE03EC" w:rsidRDefault="00DE03EC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</w:p>
    <w:p w14:paraId="55DDD387" w14:textId="607C061E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lastRenderedPageBreak/>
        <w:t xml:space="preserve">Основно образование през 2024 г. са завършили 59.8 хил. ученици, а средно </w:t>
      </w:r>
      <w:r w:rsidR="00DE03E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-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43.4 хил</w:t>
      </w:r>
      <w:r w:rsidR="00DE03EC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яди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3A08C0FA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Степен на професионална квалификация е придобита, както следва:</w:t>
      </w:r>
    </w:p>
    <w:p w14:paraId="7CE015FA" w14:textId="77777777" w:rsidR="003C18CB" w:rsidRPr="0065212A" w:rsidRDefault="003C18CB" w:rsidP="0065212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65212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първа степен </w:t>
      </w:r>
      <w:r w:rsidR="0026092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</w:t>
      </w:r>
      <w:r w:rsidRPr="0065212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481 ученици;</w:t>
      </w:r>
    </w:p>
    <w:p w14:paraId="3BB80BE3" w14:textId="77777777" w:rsidR="003C18CB" w:rsidRPr="0065212A" w:rsidRDefault="003C18CB" w:rsidP="002153D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65212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втора и трета степен </w:t>
      </w:r>
      <w:r w:rsidR="0026092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</w:t>
      </w:r>
      <w:r w:rsidRPr="0065212A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съответно 2.5 хил. и 18.7 хил. ученици.</w:t>
      </w:r>
    </w:p>
    <w:p w14:paraId="1EACC4E1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При завършилите програми за придобиване на трета степен професионална квалификация най-висок е относителният дял на учениците, изучавали специалности в област</w:t>
      </w:r>
      <w:r w:rsidRPr="00B62C47">
        <w:rPr>
          <w:rFonts w:ascii="Verdana" w:eastAsia="Times New Roman" w:hAnsi="Verdana" w:cs="Times New Roman"/>
          <w:bCs/>
          <w:color w:val="000000"/>
          <w:sz w:val="20"/>
          <w:szCs w:val="20"/>
          <w:vertAlign w:val="superscript"/>
          <w:lang w:val="bg-BG" w:eastAsia="bg-BG"/>
        </w:rPr>
        <w:footnoteReference w:id="3"/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:</w:t>
      </w:r>
    </w:p>
    <w:p w14:paraId="6509B52B" w14:textId="77777777" w:rsidR="003C18CB" w:rsidRPr="003D42CD" w:rsidRDefault="003C18CB" w:rsidP="003D4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„Техника“ (24.1%);</w:t>
      </w:r>
    </w:p>
    <w:p w14:paraId="40780CC3" w14:textId="77777777" w:rsidR="003C18CB" w:rsidRPr="003D42CD" w:rsidRDefault="003C18CB" w:rsidP="003D4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„Информатика“ и „Услуги за личността“ (и двете с по 16.8%);</w:t>
      </w:r>
    </w:p>
    <w:p w14:paraId="588E5C05" w14:textId="77777777" w:rsidR="003C18CB" w:rsidRPr="003D42CD" w:rsidRDefault="003C18CB" w:rsidP="003D42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„Стопанско управление и администрация“ (13.2%);</w:t>
      </w:r>
    </w:p>
    <w:p w14:paraId="686D1B15" w14:textId="77777777" w:rsidR="003C18CB" w:rsidRPr="003D42CD" w:rsidRDefault="0026092D" w:rsidP="002153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281" w:hanging="35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„Изкуства“ (11.0</w:t>
      </w:r>
      <w:r w:rsidR="003C18CB"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%).</w:t>
      </w:r>
    </w:p>
    <w:p w14:paraId="039D5284" w14:textId="1103A3D0" w:rsidR="003355C2" w:rsidRDefault="003C18CB" w:rsidP="00D9532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През учебната 2024/2025 година учителите (вкл. директори и заместник-директори с преподавателска заетост) във всички видове училища са 69.2 хил., от които 69.6% са със завършена образователно-квалификационна степен „магистър“. В учителската професия преобладават жените </w:t>
      </w:r>
      <w:r w:rsidR="0026092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82.1% от общия брой, а една трета от всички учители са на </w:t>
      </w:r>
      <w:r w:rsidR="00C43700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възраст 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55 или повече години.</w:t>
      </w:r>
    </w:p>
    <w:p w14:paraId="457331DF" w14:textId="77777777" w:rsidR="00DE03EC" w:rsidRDefault="003C18CB" w:rsidP="002153D4">
      <w:pPr>
        <w:spacing w:before="120" w:after="0" w:line="360" w:lineRule="auto"/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/>
          <w:bCs/>
          <w:sz w:val="20"/>
          <w:lang w:val="bg-BG"/>
        </w:rPr>
        <w:t xml:space="preserve">Фиг. </w:t>
      </w:r>
      <w:r w:rsidR="00960986">
        <w:rPr>
          <w:rFonts w:ascii="Verdana" w:hAnsi="Verdana"/>
          <w:b/>
          <w:bCs/>
          <w:sz w:val="20"/>
        </w:rPr>
        <w:t>2.</w:t>
      </w:r>
      <w:r w:rsidRPr="003C18CB">
        <w:rPr>
          <w:rFonts w:ascii="Verdana" w:hAnsi="Verdana"/>
          <w:b/>
          <w:bCs/>
          <w:sz w:val="20"/>
          <w:lang w:val="bg-BG"/>
        </w:rPr>
        <w:t xml:space="preserve"> Преподаватели в училищата по възрастови групи, </w:t>
      </w:r>
    </w:p>
    <w:p w14:paraId="6F4D2062" w14:textId="77777777" w:rsidR="003C18CB" w:rsidRPr="003C18CB" w:rsidRDefault="003C18CB" w:rsidP="002153D4">
      <w:pPr>
        <w:spacing w:after="0" w:line="360" w:lineRule="auto"/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/>
          <w:bCs/>
          <w:sz w:val="20"/>
          <w:lang w:val="bg-BG"/>
        </w:rPr>
        <w:t>2024/2025 учебна год</w:t>
      </w:r>
      <w:r w:rsidR="00DE03EC">
        <w:rPr>
          <w:rFonts w:ascii="Verdana" w:hAnsi="Verdana"/>
          <w:b/>
          <w:bCs/>
          <w:sz w:val="20"/>
          <w:lang w:val="bg-BG"/>
        </w:rPr>
        <w:t>и</w:t>
      </w:r>
      <w:r w:rsidRPr="003C18CB">
        <w:rPr>
          <w:rFonts w:ascii="Verdana" w:hAnsi="Verdana"/>
          <w:b/>
          <w:bCs/>
          <w:sz w:val="20"/>
          <w:lang w:val="bg-BG"/>
        </w:rPr>
        <w:t>на</w:t>
      </w:r>
    </w:p>
    <w:p w14:paraId="4487C1D4" w14:textId="53B02027" w:rsidR="003355C2" w:rsidRDefault="003C18CB" w:rsidP="002153D4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3C18CB">
        <w:rPr>
          <w:rFonts w:ascii="Verdana" w:hAnsi="Verdana"/>
          <w:bCs/>
          <w:noProof/>
          <w:sz w:val="20"/>
          <w:lang w:val="bg-BG" w:eastAsia="bg-BG"/>
        </w:rPr>
        <w:drawing>
          <wp:inline distT="0" distB="0" distL="0" distR="0" wp14:anchorId="6861D6A7" wp14:editId="0C74A81A">
            <wp:extent cx="4848225" cy="336232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355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br w:type="page"/>
      </w:r>
    </w:p>
    <w:p w14:paraId="2723AC45" w14:textId="77777777" w:rsidR="003C18CB" w:rsidRPr="003D42CD" w:rsidRDefault="003C18CB" w:rsidP="002153D4">
      <w:pPr>
        <w:autoSpaceDE w:val="0"/>
        <w:autoSpaceDN w:val="0"/>
        <w:adjustRightInd w:val="0"/>
        <w:spacing w:before="320"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lastRenderedPageBreak/>
        <w:t>Професионално обучение за възрастни</w:t>
      </w:r>
    </w:p>
    <w:p w14:paraId="1E94AD22" w14:textId="77777777" w:rsidR="003C18CB" w:rsidRPr="003D42CD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В програми за професионално обучение срещу заплащане за придобиване на степен на професионална квалификация в центрове за професионално обучение и професионални гимназии през 2024 г. са били записани 12.1 хил. лица на възраст 16 и повече години. По степени на професионална квалификация разпределението им е следното: първа степен - 3.7 хил., втора степен - 2.9 хил. и трета степен - 5.5 хил. души.</w:t>
      </w:r>
    </w:p>
    <w:p w14:paraId="7022D4B3" w14:textId="26CE5DD9" w:rsidR="003D42CD" w:rsidRPr="003D42CD" w:rsidRDefault="003C18CB" w:rsidP="00E8280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За придобиване на IV-та степен професионална квалификация в професионалните колежи са се обучавали 787 курсисти, от които най-многобройни са били изучава</w:t>
      </w:r>
      <w:r w:rsidR="003825FE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щите специалности в областта 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„О</w:t>
      </w:r>
      <w:r w:rsidR="003825FE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бществена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сигурност и безопасност“ (272 курсисти) и „</w:t>
      </w:r>
      <w:r w:rsidR="003825FE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Услуги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за личността“ (251).</w:t>
      </w:r>
    </w:p>
    <w:p w14:paraId="0346CCBE" w14:textId="77777777" w:rsidR="003C18CB" w:rsidRPr="003D42CD" w:rsidRDefault="003C18CB" w:rsidP="002153D4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bg-BG" w:eastAsia="bg-BG"/>
        </w:rPr>
        <w:t>Висше образование</w:t>
      </w:r>
    </w:p>
    <w:p w14:paraId="4E295649" w14:textId="32034D07" w:rsidR="003C18CB" w:rsidRPr="003355C2" w:rsidRDefault="003C18CB" w:rsidP="003355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учебната 2024/2025 година студентите в България, записани в четирите образователно-квалификационни степени „професионален бакалавър“, „бакалавър“, „магистър“ и „доктор“, са 208.5 хил</w:t>
      </w:r>
      <w:r w:rsidR="00CE5F7B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яди.</w:t>
      </w:r>
    </w:p>
    <w:p w14:paraId="22E01061" w14:textId="77777777" w:rsidR="003C18CB" w:rsidRPr="003C18CB" w:rsidRDefault="003C18CB" w:rsidP="000748A8">
      <w:pPr>
        <w:spacing w:before="160"/>
        <w:ind w:firstLine="567"/>
        <w:rPr>
          <w:rFonts w:ascii="Verdana" w:hAnsi="Verdana"/>
          <w:b/>
          <w:bCs/>
          <w:i/>
          <w:iCs/>
          <w:sz w:val="20"/>
          <w:lang w:val="bg-BG"/>
        </w:rPr>
      </w:pPr>
      <w:r w:rsidRPr="003C18CB">
        <w:rPr>
          <w:rFonts w:ascii="Verdana" w:hAnsi="Verdana"/>
          <w:b/>
          <w:bCs/>
          <w:i/>
          <w:iCs/>
          <w:sz w:val="20"/>
          <w:lang w:val="bg-BG"/>
        </w:rPr>
        <w:t>Колежи (образователно-квалификационна степен „професионален бакалавър“)</w:t>
      </w:r>
    </w:p>
    <w:p w14:paraId="08E12C43" w14:textId="12A422CE" w:rsidR="00E51B60" w:rsidRDefault="003C18CB" w:rsidP="003D42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учебната 2024/2025 година за придобиване на образователно-квалификационна степен (ОКС) „професионален бакалавър“ в колежите се обучават 6 422 студенти, от които 89.2% са български граждани. От общия брой студенти в тази ОКС 1 130 души, или 17.6%, са записани в частни колежи.</w:t>
      </w:r>
    </w:p>
    <w:p w14:paraId="3DD8027E" w14:textId="72C27DD5" w:rsidR="00CB1353" w:rsidRDefault="00CB1353" w:rsidP="00A761A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C18CB">
        <w:rPr>
          <w:rFonts w:ascii="Verdana" w:hAnsi="Verdana"/>
          <w:b/>
          <w:bCs/>
          <w:sz w:val="20"/>
          <w:lang w:val="bg-BG"/>
        </w:rPr>
        <w:t xml:space="preserve">Фиг. </w:t>
      </w:r>
      <w:r>
        <w:rPr>
          <w:rFonts w:ascii="Verdana" w:hAnsi="Verdana"/>
          <w:b/>
          <w:bCs/>
          <w:sz w:val="20"/>
        </w:rPr>
        <w:t>3</w:t>
      </w:r>
      <w:r w:rsidRPr="003C18CB">
        <w:rPr>
          <w:rFonts w:ascii="Verdana" w:hAnsi="Verdana"/>
          <w:b/>
          <w:bCs/>
          <w:sz w:val="20"/>
          <w:lang w:val="bg-BG"/>
        </w:rPr>
        <w:t>. Студенти в колежи</w:t>
      </w:r>
      <w:r w:rsidRPr="003C18CB">
        <w:rPr>
          <w:rFonts w:ascii="Verdana" w:hAnsi="Verdana"/>
          <w:b/>
          <w:bCs/>
          <w:sz w:val="20"/>
          <w:vertAlign w:val="superscript"/>
          <w:lang w:val="bg-BG"/>
        </w:rPr>
        <w:footnoteReference w:id="4"/>
      </w:r>
    </w:p>
    <w:p w14:paraId="42836EC8" w14:textId="753F7271" w:rsidR="00CB1353" w:rsidRPr="003D42CD" w:rsidRDefault="00CB1353" w:rsidP="00A761A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1E16556F" wp14:editId="4952FDCE">
            <wp:extent cx="4905954" cy="32043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D6588A" w14:textId="77777777" w:rsidR="003C18CB" w:rsidRPr="00796485" w:rsidRDefault="003C18CB" w:rsidP="00A761AC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2024 г. ОКС „професионален бакалавър“ са придобили 1 601 студенти, от които 66.2% са жени. Най-голям е броят на дипломираните по специалности в следните области на образование</w:t>
      </w:r>
      <w:r w:rsidRPr="00B62C47">
        <w:rPr>
          <w:rFonts w:ascii="Verdana" w:eastAsia="Times New Roman" w:hAnsi="Verdana" w:cs="Times New Roman"/>
          <w:bCs/>
          <w:color w:val="000000"/>
          <w:sz w:val="20"/>
          <w:szCs w:val="20"/>
          <w:vertAlign w:val="superscript"/>
          <w:lang w:val="bg-BG" w:eastAsia="bg-BG"/>
        </w:rPr>
        <w:footnoteReference w:id="5"/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:</w:t>
      </w:r>
    </w:p>
    <w:p w14:paraId="6D0F7F72" w14:textId="77777777" w:rsidR="003C18CB" w:rsidRPr="00796485" w:rsidRDefault="003C18CB" w:rsidP="007964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„Здравеопазване“ - 832 души (52.0%);</w:t>
      </w:r>
    </w:p>
    <w:p w14:paraId="0699260A" w14:textId="77777777" w:rsidR="003C18CB" w:rsidRPr="00796485" w:rsidRDefault="003C18CB" w:rsidP="007964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„Технически науки и технически професии“ - 229 души (14.3%);</w:t>
      </w:r>
    </w:p>
    <w:p w14:paraId="3C54F738" w14:textId="77777777" w:rsidR="003C18CB" w:rsidRPr="00796485" w:rsidRDefault="003C18CB" w:rsidP="007964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„Бизнес и администрация“ - 174 души (10.9%);</w:t>
      </w:r>
    </w:p>
    <w:p w14:paraId="229CF1EB" w14:textId="77777777" w:rsidR="003C18CB" w:rsidRPr="00796485" w:rsidRDefault="003C18CB" w:rsidP="007964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„Персонални услуги“ - 117 души (7.3%);</w:t>
      </w:r>
    </w:p>
    <w:p w14:paraId="736EC661" w14:textId="6951C52B" w:rsidR="003C18CB" w:rsidRPr="002153D4" w:rsidRDefault="003C18CB" w:rsidP="002153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lang w:val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„Образование“ - 108 </w:t>
      </w:r>
      <w:r w:rsidR="00CE5F7B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души 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(6.7%).</w:t>
      </w:r>
    </w:p>
    <w:p w14:paraId="7BBD6DD9" w14:textId="77777777" w:rsidR="003C18CB" w:rsidRPr="003C18CB" w:rsidRDefault="003C18CB" w:rsidP="002153D4">
      <w:pPr>
        <w:spacing w:before="160" w:line="360" w:lineRule="auto"/>
        <w:ind w:firstLine="567"/>
        <w:rPr>
          <w:rFonts w:ascii="Verdana" w:hAnsi="Verdana"/>
          <w:b/>
          <w:bCs/>
          <w:i/>
          <w:iCs/>
          <w:sz w:val="20"/>
          <w:lang w:val="bg-BG"/>
        </w:rPr>
      </w:pPr>
      <w:r w:rsidRPr="003C18CB">
        <w:rPr>
          <w:rFonts w:ascii="Verdana" w:hAnsi="Verdana"/>
          <w:b/>
          <w:bCs/>
          <w:i/>
          <w:iCs/>
          <w:sz w:val="20"/>
          <w:lang w:val="bg-BG"/>
        </w:rPr>
        <w:t>Университети и специализирани висши училища (образователно-квалификационни степени „бакалавър“ и „магистър“)</w:t>
      </w:r>
    </w:p>
    <w:p w14:paraId="2D2C0C5A" w14:textId="77777777" w:rsidR="003C18CB" w:rsidRPr="003D42CD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учебната 2024/2025 година за придобиване на ОКС „бакалавър“ и „магистър“ в университетите и специализираните висши училища се обучават 197.1 хил. студенти, от които в частни учебни институции са записани 21.9 хил., или 11.1%.</w:t>
      </w:r>
    </w:p>
    <w:p w14:paraId="4C75089D" w14:textId="5A48FCA1" w:rsidR="003C18CB" w:rsidRPr="003D42CD" w:rsidRDefault="003C18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Български граждани са 180.9 хил., или 91.8% от всички студенти в университети и специализирани висши училища, а чужд</w:t>
      </w:r>
      <w:r w:rsidR="00772108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и граждани</w:t>
      </w:r>
      <w:r w:rsidRPr="003D42C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- 16.2 хиляди.</w:t>
      </w:r>
    </w:p>
    <w:p w14:paraId="40D853D0" w14:textId="77777777" w:rsidR="003C18CB" w:rsidRPr="003C18CB" w:rsidRDefault="003C18CB" w:rsidP="002153D4">
      <w:pPr>
        <w:spacing w:before="160" w:line="360" w:lineRule="auto"/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/>
          <w:bCs/>
          <w:sz w:val="20"/>
          <w:lang w:val="bg-BG"/>
        </w:rPr>
        <w:t xml:space="preserve">Фиг. </w:t>
      </w:r>
      <w:r w:rsidR="00960986">
        <w:rPr>
          <w:rFonts w:ascii="Verdana" w:hAnsi="Verdana"/>
          <w:b/>
          <w:bCs/>
          <w:sz w:val="20"/>
        </w:rPr>
        <w:t>4</w:t>
      </w:r>
      <w:r w:rsidRPr="003C18CB">
        <w:rPr>
          <w:rFonts w:ascii="Verdana" w:hAnsi="Verdana"/>
          <w:b/>
          <w:bCs/>
          <w:sz w:val="20"/>
          <w:lang w:val="bg-BG"/>
        </w:rPr>
        <w:t>. Студенти чужденци в университети и специализирани висши училища</w:t>
      </w:r>
      <w:r w:rsidRPr="003C18CB">
        <w:rPr>
          <w:rFonts w:ascii="Verdana" w:hAnsi="Verdana"/>
          <w:b/>
          <w:bCs/>
          <w:sz w:val="20"/>
          <w:vertAlign w:val="superscript"/>
          <w:lang w:val="bg-BG"/>
        </w:rPr>
        <w:footnoteReference w:id="6"/>
      </w:r>
    </w:p>
    <w:p w14:paraId="4614382A" w14:textId="77777777" w:rsidR="003C18CB" w:rsidRPr="003C18CB" w:rsidRDefault="003C18CB" w:rsidP="00C60DB5">
      <w:pPr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Cs/>
          <w:noProof/>
          <w:sz w:val="20"/>
          <w:lang w:val="bg-BG" w:eastAsia="bg-BG"/>
        </w:rPr>
        <w:drawing>
          <wp:inline distT="0" distB="0" distL="0" distR="0" wp14:anchorId="1397FE2C" wp14:editId="48FE93EF">
            <wp:extent cx="5000626" cy="3243263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BB88CA" w14:textId="3D10A413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bookmarkStart w:id="0" w:name="_GoBack"/>
      <w:bookmarkEnd w:id="0"/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Най-голям е броят на чуждестранните студенти от Гърция - 20.0%, следват тези от Обединеното кралство - 13.7%, Украйна - 10.7%, Германия - 9.5% и Италия - 6.3%, от общия брой чуждестранни студенти. Студентите чужд</w:t>
      </w:r>
      <w:r w:rsidR="003D527D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и граждани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у нас избират да учат специалности предимно в областта на здравеопазването, като 61.5% от тях се обучават в тази област, а 45.8% от всички чуждестранни студенти изучават специалност „Медицина“. </w:t>
      </w:r>
    </w:p>
    <w:p w14:paraId="057B6595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2024 г. в университетите и специализираните висши училища в страната са се дипломирали 46.2 хил. души, от които придобилите ОКС „бакалавър“ са 23.0 хил., а ОКС „магистър“ - 23.2 хиляди.</w:t>
      </w:r>
    </w:p>
    <w:p w14:paraId="69F4C172" w14:textId="77777777" w:rsidR="003C18CB" w:rsidRPr="003355C2" w:rsidRDefault="003C18CB" w:rsidP="003355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Броят на дипломираните е най-висок в областите на образование „Бизнес и администрация“ (22.9%), „Образование“ (16.8%), „Здравеопазване“ (10.2%), „Технически науки и технически професии“ и „Науки за обществото и човешкото поведение“ (по 8.3%).</w:t>
      </w:r>
    </w:p>
    <w:p w14:paraId="6DAE14B8" w14:textId="77777777" w:rsidR="003C18CB" w:rsidRPr="003C18CB" w:rsidRDefault="003C18CB" w:rsidP="002153D4">
      <w:pPr>
        <w:spacing w:before="160" w:line="360" w:lineRule="auto"/>
        <w:ind w:firstLine="567"/>
        <w:rPr>
          <w:rFonts w:ascii="Verdana" w:hAnsi="Verdana"/>
          <w:b/>
          <w:bCs/>
          <w:i/>
          <w:iCs/>
          <w:sz w:val="20"/>
          <w:lang w:val="bg-BG"/>
        </w:rPr>
      </w:pPr>
      <w:r w:rsidRPr="003C18CB">
        <w:rPr>
          <w:rFonts w:ascii="Verdana" w:hAnsi="Verdana"/>
          <w:b/>
          <w:bCs/>
          <w:i/>
          <w:iCs/>
          <w:sz w:val="20"/>
          <w:lang w:val="bg-BG"/>
        </w:rPr>
        <w:t>Образователна и научна степен „доктор“</w:t>
      </w:r>
    </w:p>
    <w:p w14:paraId="4A5DBCAC" w14:textId="77777777" w:rsidR="00C20B98" w:rsidRDefault="003C18CB" w:rsidP="00C20B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Към 31.12.2024 г. у нас се обучават общо 5 029 докторанти (фиг. 5), като от тях 52.0% са жени. В редовна форма на обучение са зачислени 3 063 души, или 60.9% от докторантите.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 xml:space="preserve"> Най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-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голям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дял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докторантите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се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обучават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област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София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(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столица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) - 57.0%,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следвана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от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областите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Пловдив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(11.3%),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Варна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(9.2%)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и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Велико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  <w:r w:rsidRPr="00796485">
        <w:rPr>
          <w:rFonts w:ascii="Verdana" w:eastAsia="Times New Roman" w:hAnsi="Verdana" w:cs="Times New Roman" w:hint="cs"/>
          <w:bCs/>
          <w:color w:val="000000"/>
          <w:sz w:val="20"/>
          <w:szCs w:val="20"/>
          <w:lang w:val="bg-BG" w:eastAsia="bg-BG"/>
        </w:rPr>
        <w:t>Търново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(7.1%).</w:t>
      </w:r>
    </w:p>
    <w:p w14:paraId="091BE6A2" w14:textId="77777777" w:rsidR="003C18CB" w:rsidRPr="00C20B98" w:rsidRDefault="003C18CB" w:rsidP="00C20B9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3C18CB">
        <w:rPr>
          <w:rFonts w:ascii="Verdana" w:hAnsi="Verdana"/>
          <w:b/>
          <w:bCs/>
          <w:sz w:val="20"/>
          <w:lang w:val="bg-BG"/>
        </w:rPr>
        <w:t xml:space="preserve">Фиг. </w:t>
      </w:r>
      <w:r w:rsidR="00960986">
        <w:rPr>
          <w:rFonts w:ascii="Verdana" w:hAnsi="Verdana"/>
          <w:b/>
          <w:bCs/>
          <w:sz w:val="20"/>
        </w:rPr>
        <w:t>5</w:t>
      </w:r>
      <w:r w:rsidRPr="003C18CB">
        <w:rPr>
          <w:rFonts w:ascii="Verdana" w:hAnsi="Verdana"/>
          <w:b/>
          <w:bCs/>
          <w:sz w:val="20"/>
          <w:lang w:val="bg-BG"/>
        </w:rPr>
        <w:t>. Новоприети, учащи и дипломирани докторанти</w:t>
      </w:r>
      <w:r w:rsidRPr="003C18CB">
        <w:rPr>
          <w:rFonts w:ascii="Verdana" w:hAnsi="Verdana"/>
          <w:b/>
          <w:bCs/>
          <w:sz w:val="20"/>
          <w:vertAlign w:val="superscript"/>
          <w:lang w:val="bg-BG"/>
        </w:rPr>
        <w:footnoteReference w:id="7"/>
      </w:r>
    </w:p>
    <w:p w14:paraId="0E6B87A8" w14:textId="77777777" w:rsidR="003C18CB" w:rsidRPr="003C18CB" w:rsidRDefault="003C18CB" w:rsidP="00796485">
      <w:pPr>
        <w:jc w:val="center"/>
        <w:rPr>
          <w:rFonts w:ascii="Verdana" w:hAnsi="Verdana"/>
          <w:b/>
          <w:bCs/>
          <w:sz w:val="20"/>
          <w:lang w:val="bg-BG"/>
        </w:rPr>
      </w:pPr>
      <w:r w:rsidRPr="003C18CB">
        <w:rPr>
          <w:rFonts w:ascii="Verdana" w:hAnsi="Verdana"/>
          <w:bCs/>
          <w:noProof/>
          <w:sz w:val="20"/>
          <w:lang w:val="bg-BG" w:eastAsia="bg-BG"/>
        </w:rPr>
        <w:drawing>
          <wp:inline distT="0" distB="0" distL="0" distR="0" wp14:anchorId="697E0945" wp14:editId="233686EB">
            <wp:extent cx="5210175" cy="3214688"/>
            <wp:effectExtent l="0" t="0" r="0" b="508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1AE1D1" w14:textId="5DBE66A8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Чуждестранните докторанти са 574, или 11.4% от общия брой. Най-висок е делът на тези от Китай - 34.1%, следвани от докторантите от Гърция (14.3%), Израел (7.3%) и Република Северна Македония (6.1%).</w:t>
      </w:r>
    </w:p>
    <w:p w14:paraId="5055B36A" w14:textId="5C900BA2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В частни институции се обучават 3.7% от докторантите, като 84 души</w:t>
      </w:r>
      <w:r w:rsidR="00A31298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от тях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, или 14.6%, са чужд</w:t>
      </w:r>
      <w:r w:rsidR="00A31298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и граждани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.</w:t>
      </w:r>
    </w:p>
    <w:p w14:paraId="02D0D4F6" w14:textId="77777777" w:rsidR="003C18CB" w:rsidRPr="00796485" w:rsidRDefault="003C18CB" w:rsidP="002153D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През 2024 г. образователна и научна степен „доктор“ са придобили 1 159 души, от които 640, или 55.2%, са жени. Най-голям е делът на дипломираните в следните области на образование:</w:t>
      </w:r>
    </w:p>
    <w:p w14:paraId="2086809D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„Здравеопазване“ - 166 души (14.3%);</w:t>
      </w:r>
    </w:p>
    <w:p w14:paraId="6300D70F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„Науки за обществото и човешкото поведение“ - 162 души (14.0%);</w:t>
      </w:r>
    </w:p>
    <w:p w14:paraId="32474AFE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„Бизнес и администрация“ - 103 души (8.9%);</w:t>
      </w:r>
    </w:p>
    <w:p w14:paraId="7414C55E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„Образование“ - 101 души (8.7%);</w:t>
      </w:r>
    </w:p>
    <w:p w14:paraId="5BE491D8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„Технически науки и технически професии“ - 88 души (7.6%)</w:t>
      </w:r>
    </w:p>
    <w:p w14:paraId="6ABBFE7B" w14:textId="77777777" w:rsidR="003C18CB" w:rsidRPr="00796485" w:rsidRDefault="003C18CB" w:rsidP="007964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sz w:val="20"/>
          <w:lang w:val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„Изкуства“ - 81 души (7.0%).</w:t>
      </w:r>
    </w:p>
    <w:p w14:paraId="59A46CD7" w14:textId="77777777" w:rsidR="007024AD" w:rsidRDefault="003C18CB" w:rsidP="00B62C47">
      <w:pPr>
        <w:ind w:firstLine="567"/>
        <w:jc w:val="center"/>
        <w:rPr>
          <w:rFonts w:ascii="Verdana" w:hAnsi="Verdana"/>
          <w:bCs/>
          <w:sz w:val="20"/>
          <w:lang w:val="bg-BG"/>
        </w:rPr>
      </w:pPr>
      <w:r w:rsidRPr="003C18CB">
        <w:rPr>
          <w:rFonts w:ascii="Verdana" w:hAnsi="Verdana"/>
          <w:bCs/>
          <w:sz w:val="20"/>
          <w:lang w:val="bg-BG"/>
        </w:rPr>
        <w:br w:type="page"/>
      </w:r>
    </w:p>
    <w:p w14:paraId="7E40D99B" w14:textId="77777777" w:rsidR="007024AD" w:rsidRDefault="007024AD" w:rsidP="00B62C47">
      <w:pPr>
        <w:ind w:firstLine="567"/>
        <w:jc w:val="center"/>
        <w:rPr>
          <w:rFonts w:ascii="Verdana" w:hAnsi="Verdana"/>
          <w:bCs/>
          <w:sz w:val="20"/>
          <w:lang w:val="bg-BG"/>
        </w:rPr>
      </w:pPr>
    </w:p>
    <w:p w14:paraId="491EADEB" w14:textId="4BD3250A" w:rsidR="003C18CB" w:rsidRPr="003C18CB" w:rsidRDefault="003C18CB" w:rsidP="00B62C47">
      <w:pPr>
        <w:ind w:firstLine="567"/>
        <w:jc w:val="center"/>
        <w:rPr>
          <w:rFonts w:ascii="Verdana" w:hAnsi="Verdana"/>
          <w:bCs/>
          <w:sz w:val="20"/>
          <w:lang w:val="bg-BG"/>
        </w:rPr>
      </w:pPr>
      <w:r w:rsidRPr="003C18CB">
        <w:rPr>
          <w:rFonts w:ascii="Verdana" w:hAnsi="Verdana"/>
          <w:b/>
          <w:bCs/>
          <w:sz w:val="20"/>
          <w:lang w:val="bg-BG"/>
        </w:rPr>
        <w:t>Методологични бележки</w:t>
      </w:r>
    </w:p>
    <w:p w14:paraId="3902E62A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От 2021/2022 учебна година Националният статистически институт (НСИ) промени източника на данни за изследванията на предучилищното и училищното образование, като използва изцяло информация от административните регистри на Министерството на образованието и науката, поради което е налице прекъсване на динамичния ред. Допълнителна информация е публикувана на интернет сайта на НСИ към </w:t>
      </w:r>
      <w:hyperlink r:id="rId13" w:history="1">
        <w:r w:rsidRPr="00796485">
          <w:rPr>
            <w:rStyle w:val="Hyperlink"/>
            <w:rFonts w:ascii="Verdana" w:eastAsia="Times New Roman" w:hAnsi="Verdana" w:cs="Times New Roman"/>
            <w:bCs/>
            <w:sz w:val="20"/>
            <w:szCs w:val="20"/>
            <w:lang w:val="bg-BG" w:eastAsia="bg-BG"/>
          </w:rPr>
          <w:t>метаданните за изследванията</w:t>
        </w:r>
      </w:hyperlink>
      <w:r w:rsidR="00796485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.</w:t>
      </w:r>
    </w:p>
    <w:p w14:paraId="3F44B246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От учебната 2023/2024 учебна година НСИ промени източника на данни за студентите и докторантите във висшето образование, като използва изцяло информация от административните регистри на Министерството на образованието и науката, поради което е налице прекъсване на динамичния ред.</w:t>
      </w:r>
    </w:p>
    <w:p w14:paraId="4977F92D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Статистиката на образованието е изградена на базата на Регламент № 452 от 2008 г. на Европейския парламент и на Съвета относно изготвянето и развитието на статистиката на образованието и ученето през целия живот, действащата нормативна уредба в България в областта на образованието, Международната стандартна класификация на образованието (МСКО) - ревизия 2011 г. (ISCED 2011) и съпътстващите я методически ръководства.</w:t>
      </w:r>
    </w:p>
    <w:p w14:paraId="1A9F13B5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МСКО е създадена да служи като рамка за класифициране на образователни дейности в определени програми и свързаните с тях квалификации в международно признати категории. </w:t>
      </w:r>
    </w:p>
    <w:p w14:paraId="63C3D0DB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Образователни институции са тези, които директно провеждат обучение по образователни програми с учащи в организирани класове (групи) на място или чрез дистанционна форма на обучение. Провежданите в тях програми водят до придобиване на степен на образование и/или степен на професионална квалификация. Неформалното образование и самостоятелното обучение не попадат в обхвата на образователната система според използваните дефиниции на МСКО 2011.</w:t>
      </w:r>
    </w:p>
    <w:p w14:paraId="6A30540C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>Чрез своите изследвания НСИ се стреми да установи броя на учащите в системата на образованието към определена дата на наблюдение. На тази основа се изчислява международно възприетият показател „степен на участие на населението в образователната система“ като относителен дял на записаните ученици от определена възрастова група към броя на постоянното население на страната от същата възрастова група.</w:t>
      </w:r>
    </w:p>
    <w:p w14:paraId="5B153F2D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Повече информация и данни за статистиката на образованието могат да се намерят на </w:t>
      </w:r>
      <w:hyperlink r:id="rId14" w:history="1">
        <w:r w:rsidRPr="00796485">
          <w:rPr>
            <w:rStyle w:val="Hyperlink"/>
            <w:rFonts w:ascii="Verdana" w:eastAsia="Times New Roman" w:hAnsi="Verdana" w:cs="Times New Roman"/>
            <w:bCs/>
            <w:sz w:val="20"/>
            <w:szCs w:val="20"/>
            <w:lang w:val="bg-BG" w:eastAsia="bg-BG"/>
          </w:rPr>
          <w:t>сайта на НСИ</w:t>
        </w:r>
      </w:hyperlink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, раздел „Образование и учене през целия живот“, както и в Информационна система </w:t>
      </w:r>
      <w:hyperlink r:id="rId15" w:history="1">
        <w:r w:rsidRPr="00796485">
          <w:rPr>
            <w:rStyle w:val="Hyperlink"/>
            <w:rFonts w:ascii="Verdana" w:eastAsia="Times New Roman" w:hAnsi="Verdana" w:cs="Times New Roman"/>
            <w:bCs/>
            <w:sz w:val="20"/>
            <w:szCs w:val="20"/>
            <w:lang w:val="bg-BG" w:eastAsia="bg-BG"/>
          </w:rPr>
          <w:t>ИНФОСТАТ</w:t>
        </w:r>
      </w:hyperlink>
      <w:r w:rsidR="00796485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.</w:t>
      </w:r>
      <w:r w:rsidRPr="00796485"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  <w:t xml:space="preserve"> </w:t>
      </w:r>
    </w:p>
    <w:p w14:paraId="592593FD" w14:textId="77777777" w:rsidR="003C18CB" w:rsidRPr="00796485" w:rsidRDefault="003C18CB" w:rsidP="007964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bg-BG" w:eastAsia="bg-BG"/>
        </w:rPr>
      </w:pPr>
    </w:p>
    <w:sectPr w:rsidR="003C18CB" w:rsidRPr="00796485" w:rsidSect="006A4C8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E1D70" w14:textId="77777777" w:rsidR="00693559" w:rsidRDefault="00693559" w:rsidP="00D83F28">
      <w:pPr>
        <w:spacing w:after="0" w:line="240" w:lineRule="auto"/>
      </w:pPr>
      <w:r>
        <w:separator/>
      </w:r>
    </w:p>
  </w:endnote>
  <w:endnote w:type="continuationSeparator" w:id="0">
    <w:p w14:paraId="26384A3D" w14:textId="77777777" w:rsidR="00693559" w:rsidRDefault="00693559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A8AD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FAD564" wp14:editId="44D922A3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B6DF6" w14:textId="141135DD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065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FAD56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19FB6DF6" w14:textId="141135DD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9065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12A1BA" wp14:editId="3AD3469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6480FE2" wp14:editId="259622B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9FEA" w14:textId="77777777" w:rsidR="00D83F28" w:rsidRPr="001440AB" w:rsidRDefault="001440AB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B0D6A5C" wp14:editId="3CB618E6">
              <wp:simplePos x="0" y="0"/>
              <wp:positionH relativeFrom="page">
                <wp:posOffset>829144</wp:posOffset>
              </wp:positionH>
              <wp:positionV relativeFrom="paragraph">
                <wp:posOffset>28934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07D0D" id="Graphic 8" o:spid="_x0000_s1026" style="position:absolute;margin-left:65.3pt;margin-top:2.3pt;width:477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D0V2J32AAAAAgBAAAPAAAAZHJzL2Rvd25yZXYueG1s&#10;TE/LTsMwELwj8Q/WInGjdgFFVohTFRBXpJZ+gGMvTtTYDrHbuH/P9gSn1eyM5tFsih/ZGec0xKBg&#10;vRLAMJhoh+AUHL4+HiSwlHWweowBFVwwwaa9vWl0beMSdnjeZ8fIJKRaK+hznmrOk+nR67SKEwbi&#10;vuPsdSY4O25nvZC5H/mjEBX3egiU0OsJ33o0x/3JK1hwZ9bLZyddef2Z3PvRbMtFKnV/V7YvwDKW&#10;/CeGa32qDi116uIp2MRGwk+iIqmCZzpXXsiKxnX0kMDbhv8f0P4C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9Fdid9gAAAAIAQAADwAAAAAAAAAAAAAAAACABAAAZHJzL2Rvd25yZXYu&#10;eG1sUEsFBgAAAAAEAAQA8wAAAIU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 xml:space="preserve">София 1038, България, ул. „П. Волов“ № 2, тел. (02) 9857 111, e-mail: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  <w:r w:rsidR="00D83F28" w:rsidRPr="001440AB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E6025A" wp14:editId="02F50586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F8353" w14:textId="41DD0D5F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065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E602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left:0;text-align:left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361F8353" w14:textId="41DD0D5F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9065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3F28" w:rsidRPr="001440AB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CE19C75" wp14:editId="463BDF84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830D" w14:textId="77777777" w:rsidR="00693559" w:rsidRDefault="00693559" w:rsidP="00D83F28">
      <w:pPr>
        <w:spacing w:after="0" w:line="240" w:lineRule="auto"/>
      </w:pPr>
      <w:r>
        <w:separator/>
      </w:r>
    </w:p>
  </w:footnote>
  <w:footnote w:type="continuationSeparator" w:id="0">
    <w:p w14:paraId="670A51A6" w14:textId="77777777" w:rsidR="00693559" w:rsidRDefault="00693559" w:rsidP="00D83F28">
      <w:pPr>
        <w:spacing w:after="0" w:line="240" w:lineRule="auto"/>
      </w:pPr>
      <w:r>
        <w:continuationSeparator/>
      </w:r>
    </w:p>
  </w:footnote>
  <w:footnote w:id="1">
    <w:p w14:paraId="01FA9F78" w14:textId="77777777" w:rsidR="003C18CB" w:rsidRPr="002153D4" w:rsidRDefault="003C18CB" w:rsidP="003C18CB">
      <w:pPr>
        <w:pStyle w:val="FootnoteText"/>
        <w:jc w:val="both"/>
        <w:rPr>
          <w:sz w:val="16"/>
          <w:szCs w:val="16"/>
          <w:lang w:val="ru-RU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  <w:lang w:val="ru-RU"/>
        </w:rPr>
        <w:t xml:space="preserve"> </w:t>
      </w:r>
      <w:r w:rsidRPr="002153D4">
        <w:rPr>
          <w:rFonts w:ascii="Verdana" w:hAnsi="Verdana"/>
          <w:sz w:val="16"/>
          <w:szCs w:val="16"/>
          <w:lang w:val="bg-BG"/>
        </w:rPr>
        <w:t>Груповият нетен коефициент на записване на децата в детските градини се изчислява в проценти като отношение на броя на децата в детските градини във възрастовата група 3 - 6 години към броя на населението в същата възрастова група.</w:t>
      </w:r>
    </w:p>
  </w:footnote>
  <w:footnote w:id="2">
    <w:p w14:paraId="06C45E98" w14:textId="77777777" w:rsidR="003C18CB" w:rsidRPr="002153D4" w:rsidRDefault="003C18CB" w:rsidP="003C18CB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</w:rPr>
        <w:t xml:space="preserve"> </w:t>
      </w:r>
      <w:r w:rsidRPr="002153D4">
        <w:rPr>
          <w:rFonts w:ascii="Verdana" w:hAnsi="Verdana"/>
          <w:sz w:val="16"/>
          <w:szCs w:val="16"/>
          <w:lang w:val="bg-BG"/>
        </w:rPr>
        <w:t>Груповият нетен коефициент на записване в училищното образование е изчислен в проценти като отношение на броя на учениците на възраст 7-10 години в началното образование, 11-13 години в прогимназиалното и 14-18 годни в гимназиалното образование към броя на населението в същите възрастови групи.</w:t>
      </w:r>
    </w:p>
  </w:footnote>
  <w:footnote w:id="3">
    <w:p w14:paraId="366D8FD7" w14:textId="77777777" w:rsidR="003C18CB" w:rsidRPr="002153D4" w:rsidRDefault="003C18CB" w:rsidP="00C87D5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</w:rPr>
        <w:t xml:space="preserve"> </w:t>
      </w:r>
      <w:r w:rsidRPr="002153D4">
        <w:rPr>
          <w:rFonts w:ascii="Verdana" w:hAnsi="Verdana"/>
          <w:sz w:val="16"/>
          <w:szCs w:val="16"/>
          <w:lang w:val="bg-BG"/>
        </w:rPr>
        <w:t>За професионалното образование и обучение областите на образование са представени според Списъка на професиите за професионално образование и обучение.</w:t>
      </w:r>
    </w:p>
  </w:footnote>
  <w:footnote w:id="4">
    <w:p w14:paraId="2A62570E" w14:textId="77777777" w:rsidR="00CB1353" w:rsidRPr="002153D4" w:rsidRDefault="00CB1353" w:rsidP="00CB1353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</w:rPr>
        <w:t xml:space="preserve"> </w:t>
      </w:r>
      <w:r w:rsidRPr="002153D4">
        <w:rPr>
          <w:rFonts w:ascii="Verdana" w:hAnsi="Verdana"/>
          <w:sz w:val="16"/>
          <w:szCs w:val="16"/>
          <w:lang w:val="bg-BG"/>
        </w:rPr>
        <w:t>2023/2024 - прекъсване на динамичния ред поради промяна на източника на данни и методологията.</w:t>
      </w:r>
    </w:p>
  </w:footnote>
  <w:footnote w:id="5">
    <w:p w14:paraId="77E82D84" w14:textId="77777777" w:rsidR="003C18CB" w:rsidRPr="002153D4" w:rsidRDefault="003C18CB" w:rsidP="00C87D5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  <w:lang w:val="bg-BG"/>
        </w:rPr>
        <w:t xml:space="preserve"> Съгласно Класификация на областите на образование и обучение 2015 (КОО - 2015).</w:t>
      </w:r>
    </w:p>
  </w:footnote>
  <w:footnote w:id="6">
    <w:p w14:paraId="21270CB4" w14:textId="77777777" w:rsidR="003C18CB" w:rsidRPr="00C87D5A" w:rsidRDefault="003C18CB" w:rsidP="00C87D5A">
      <w:pPr>
        <w:pStyle w:val="FootnoteText"/>
        <w:jc w:val="both"/>
        <w:rPr>
          <w:rFonts w:ascii="Verdana" w:hAnsi="Verdana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</w:rPr>
        <w:t xml:space="preserve"> </w:t>
      </w:r>
      <w:r w:rsidRPr="002153D4">
        <w:rPr>
          <w:rFonts w:ascii="Verdana" w:hAnsi="Verdana"/>
          <w:sz w:val="16"/>
          <w:szCs w:val="16"/>
          <w:lang w:val="bg-BG"/>
        </w:rPr>
        <w:t>2023/2024 - прекъсване на динамичния ред поради промяна на източника на данни и методологията.</w:t>
      </w:r>
    </w:p>
  </w:footnote>
  <w:footnote w:id="7">
    <w:p w14:paraId="721F10A8" w14:textId="77777777" w:rsidR="003C18CB" w:rsidRPr="002153D4" w:rsidRDefault="003C18CB" w:rsidP="003C18C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153D4">
        <w:rPr>
          <w:rStyle w:val="FootnoteReference"/>
          <w:rFonts w:ascii="Verdana" w:hAnsi="Verdana"/>
          <w:sz w:val="16"/>
          <w:szCs w:val="16"/>
        </w:rPr>
        <w:footnoteRef/>
      </w:r>
      <w:r w:rsidRPr="002153D4">
        <w:rPr>
          <w:rFonts w:ascii="Verdana" w:hAnsi="Verdana"/>
          <w:sz w:val="16"/>
          <w:szCs w:val="16"/>
        </w:rPr>
        <w:t xml:space="preserve"> </w:t>
      </w:r>
      <w:r w:rsidRPr="002153D4">
        <w:rPr>
          <w:rFonts w:ascii="Verdana" w:eastAsia="Times New Roman" w:hAnsi="Verdana"/>
          <w:sz w:val="16"/>
          <w:szCs w:val="16"/>
          <w:lang w:val="bg-BG"/>
        </w:rPr>
        <w:t>2023</w:t>
      </w:r>
      <w:r w:rsidRPr="002153D4">
        <w:rPr>
          <w:rFonts w:ascii="Verdana" w:hAnsi="Verdana"/>
          <w:sz w:val="16"/>
          <w:szCs w:val="16"/>
          <w:lang w:val="bg-BG"/>
        </w:rPr>
        <w:t xml:space="preserve"> - </w:t>
      </w:r>
      <w:r w:rsidRPr="002153D4">
        <w:rPr>
          <w:rFonts w:ascii="Verdana" w:eastAsia="Times New Roman" w:hAnsi="Verdana"/>
          <w:sz w:val="16"/>
          <w:szCs w:val="16"/>
          <w:lang w:val="bg-BG"/>
        </w:rPr>
        <w:t>Прекъсване на динамичния ред поради промяна на източника на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94AF1" w14:textId="77777777" w:rsidR="00455957" w:rsidRDefault="007B7AB3" w:rsidP="002153D4">
    <w:pPr>
      <w:spacing w:after="0" w:line="360" w:lineRule="auto"/>
      <w:jc w:val="center"/>
      <w:rPr>
        <w:rFonts w:ascii="Verdana" w:hAnsi="Verdana"/>
        <w:b/>
        <w:noProof/>
        <w:sz w:val="20"/>
        <w:lang w:eastAsia="bg-BG"/>
      </w:rPr>
    </w:pPr>
    <w:r w:rsidRPr="007B7AB3">
      <w:rPr>
        <w:rFonts w:ascii="Verdana" w:hAnsi="Verdana"/>
        <w:b/>
        <w:sz w:val="20"/>
        <w:lang w:val="bg-BG"/>
      </w:rPr>
      <w:t xml:space="preserve"> </w:t>
    </w:r>
    <w:r w:rsidRPr="007B7AB3">
      <w:rPr>
        <w:rFonts w:ascii="Verdana" w:hAnsi="Verdana"/>
        <w:b/>
        <w:noProof/>
        <w:sz w:val="20"/>
        <w:lang w:val="bg-BG" w:eastAsia="bg-BG"/>
      </w:rPr>
      <w:t>ОБРАЗОВАНИЕТО В РЕПУБЛИКА БЪЛГАРИЯ</w:t>
    </w:r>
    <w:r w:rsidRPr="007B7AB3">
      <w:rPr>
        <w:rFonts w:ascii="Verdana" w:hAnsi="Verdana"/>
        <w:b/>
        <w:noProof/>
        <w:sz w:val="20"/>
        <w:lang w:eastAsia="bg-BG"/>
      </w:rPr>
      <w:t xml:space="preserve"> </w:t>
    </w:r>
  </w:p>
  <w:p w14:paraId="0C0D066D" w14:textId="77777777" w:rsidR="00D83F28" w:rsidRPr="007B7AB3" w:rsidRDefault="00455957" w:rsidP="002153D4">
    <w:pPr>
      <w:spacing w:after="0" w:line="360" w:lineRule="auto"/>
      <w:jc w:val="center"/>
      <w:rPr>
        <w:rFonts w:ascii="Verdana" w:hAnsi="Verdana"/>
        <w:b/>
        <w:noProof/>
        <w:sz w:val="20"/>
        <w:lang w:val="bg-BG" w:eastAsia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A13346F" wp14:editId="1DCF2CEA">
              <wp:simplePos x="0" y="0"/>
              <wp:positionH relativeFrom="margin">
                <wp:posOffset>-85090</wp:posOffset>
              </wp:positionH>
              <wp:positionV relativeFrom="paragraph">
                <wp:posOffset>214630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8DA93" id="Graphic 7" o:spid="_x0000_s1026" style="position:absolute;margin-left:-6.7pt;margin-top:16.9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25h113AAAAAkBAAAPAAAAZHJzL2Rvd25yZXYueG1s&#10;TI9BTsMwEEX3SNzBmkrsWidNhEIapyogtkgtHMCxBydqbIfYbdzbM6xgOTNPf95v9smO7IpzGLwT&#10;kG8yYOiU14MzAj4/3tYVsBCl03L0DgXcMMC+vb9rZK394o54PUXDKMSFWgroY5xqzoPq0cqw8RM6&#10;un352cpI42y4nuVC4Xbk2yx75FYOjj70csKXHtX5dLECFjyqfHnvKpOevyfzelaHdKuEeFilww5Y&#10;xBT/YPjVJ3VoyanzF6cDGwWs86IkVEBRUAUCnsotletoUWbA24b/b9D+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HbmHXX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7B7AB3" w:rsidRPr="007B7AB3">
      <w:rPr>
        <w:rFonts w:ascii="Verdana" w:hAnsi="Verdana"/>
        <w:b/>
        <w:noProof/>
        <w:sz w:val="20"/>
        <w:lang w:val="bg-BG" w:eastAsia="bg-BG"/>
      </w:rPr>
      <w:t>ПРЕЗ УЧЕБНАТА 202</w:t>
    </w:r>
    <w:r w:rsidR="007B7AB3" w:rsidRPr="007B7AB3">
      <w:rPr>
        <w:rFonts w:ascii="Verdana" w:hAnsi="Verdana"/>
        <w:b/>
        <w:noProof/>
        <w:sz w:val="20"/>
        <w:lang w:eastAsia="bg-BG"/>
      </w:rPr>
      <w:t>4</w:t>
    </w:r>
    <w:r w:rsidR="007B7AB3" w:rsidRPr="007B7AB3">
      <w:rPr>
        <w:rFonts w:ascii="Verdana" w:hAnsi="Verdana"/>
        <w:b/>
        <w:noProof/>
        <w:sz w:val="20"/>
        <w:lang w:val="bg-BG" w:eastAsia="bg-BG"/>
      </w:rPr>
      <w:t>/202</w:t>
    </w:r>
    <w:r w:rsidR="007B7AB3" w:rsidRPr="007B7AB3">
      <w:rPr>
        <w:rFonts w:ascii="Verdana" w:hAnsi="Verdana"/>
        <w:b/>
        <w:noProof/>
        <w:sz w:val="20"/>
        <w:lang w:eastAsia="bg-BG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A21A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BBDFF74" wp14:editId="12FDB12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80E401" wp14:editId="50B7C9DD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03019" w14:textId="77777777"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3A20135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191504BB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0E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30E03019" w14:textId="77777777"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3A20135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14:paraId="191504BB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C7F269" wp14:editId="52AB78CA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45C4A3" wp14:editId="6A95603A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F99880E" wp14:editId="40056C02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A8F"/>
    <w:multiLevelType w:val="hybridMultilevel"/>
    <w:tmpl w:val="F08E003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620712"/>
    <w:multiLevelType w:val="hybridMultilevel"/>
    <w:tmpl w:val="B87A9C3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1A700F"/>
    <w:multiLevelType w:val="hybridMultilevel"/>
    <w:tmpl w:val="87B2601C"/>
    <w:lvl w:ilvl="0" w:tplc="0402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4FA0757C"/>
    <w:multiLevelType w:val="hybridMultilevel"/>
    <w:tmpl w:val="C698610C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98249D"/>
    <w:multiLevelType w:val="hybridMultilevel"/>
    <w:tmpl w:val="ADFE5BF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245B9F"/>
    <w:multiLevelType w:val="hybridMultilevel"/>
    <w:tmpl w:val="3320DC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12AD"/>
    <w:multiLevelType w:val="hybridMultilevel"/>
    <w:tmpl w:val="4BE4C9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EA0E84"/>
    <w:multiLevelType w:val="hybridMultilevel"/>
    <w:tmpl w:val="149C276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2543F7"/>
    <w:multiLevelType w:val="hybridMultilevel"/>
    <w:tmpl w:val="236C2B3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748A8"/>
    <w:rsid w:val="00075CB7"/>
    <w:rsid w:val="001440AB"/>
    <w:rsid w:val="00191C28"/>
    <w:rsid w:val="002153D4"/>
    <w:rsid w:val="0026092D"/>
    <w:rsid w:val="00266E6D"/>
    <w:rsid w:val="002B2A8A"/>
    <w:rsid w:val="002D1A54"/>
    <w:rsid w:val="003355C2"/>
    <w:rsid w:val="003825FE"/>
    <w:rsid w:val="003A7792"/>
    <w:rsid w:val="003C0BCE"/>
    <w:rsid w:val="003C18CB"/>
    <w:rsid w:val="003D42CD"/>
    <w:rsid w:val="003D527D"/>
    <w:rsid w:val="003E75E1"/>
    <w:rsid w:val="00455957"/>
    <w:rsid w:val="00481203"/>
    <w:rsid w:val="005044B9"/>
    <w:rsid w:val="00643044"/>
    <w:rsid w:val="0065212A"/>
    <w:rsid w:val="00693559"/>
    <w:rsid w:val="006A4C8F"/>
    <w:rsid w:val="006D6E63"/>
    <w:rsid w:val="007024AD"/>
    <w:rsid w:val="00710374"/>
    <w:rsid w:val="007408F1"/>
    <w:rsid w:val="00751381"/>
    <w:rsid w:val="00756C55"/>
    <w:rsid w:val="00772108"/>
    <w:rsid w:val="00796485"/>
    <w:rsid w:val="007A780C"/>
    <w:rsid w:val="007B7AB3"/>
    <w:rsid w:val="007F14AA"/>
    <w:rsid w:val="008E6CB5"/>
    <w:rsid w:val="00934F56"/>
    <w:rsid w:val="00960986"/>
    <w:rsid w:val="009757F5"/>
    <w:rsid w:val="009B4087"/>
    <w:rsid w:val="00A13BCA"/>
    <w:rsid w:val="00A31298"/>
    <w:rsid w:val="00A37EA8"/>
    <w:rsid w:val="00A761AC"/>
    <w:rsid w:val="00AC3C1C"/>
    <w:rsid w:val="00AD15D7"/>
    <w:rsid w:val="00B53EA0"/>
    <w:rsid w:val="00B62C47"/>
    <w:rsid w:val="00B90650"/>
    <w:rsid w:val="00C20B98"/>
    <w:rsid w:val="00C43700"/>
    <w:rsid w:val="00C60DB5"/>
    <w:rsid w:val="00C87D5A"/>
    <w:rsid w:val="00CB1353"/>
    <w:rsid w:val="00CE5F7B"/>
    <w:rsid w:val="00D21C0D"/>
    <w:rsid w:val="00D60CD2"/>
    <w:rsid w:val="00D62CFF"/>
    <w:rsid w:val="00D83F28"/>
    <w:rsid w:val="00D95329"/>
    <w:rsid w:val="00DA4D47"/>
    <w:rsid w:val="00DB4820"/>
    <w:rsid w:val="00DE03EC"/>
    <w:rsid w:val="00E0205C"/>
    <w:rsid w:val="00E51B60"/>
    <w:rsid w:val="00E81043"/>
    <w:rsid w:val="00E8280B"/>
    <w:rsid w:val="00EF4FC0"/>
    <w:rsid w:val="00F75971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8F5552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C18C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3C18CB"/>
    <w:pPr>
      <w:spacing w:after="0" w:line="240" w:lineRule="auto"/>
    </w:pPr>
    <w:rPr>
      <w:rFonts w:ascii="???t???a" w:eastAsia="Calibri" w:hAnsi="???t???a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3C18CB"/>
    <w:rPr>
      <w:rFonts w:ascii="???t???a" w:eastAsia="Calibri" w:hAnsi="???t???a" w:cs="Times New Roman"/>
      <w:sz w:val="20"/>
      <w:szCs w:val="20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3C18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2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64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7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2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80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80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nsi.bg/bg/content/3374/%D0%BE%D0%B1%D1%80%D0%B0%D0%B7%D0%BE%D0%B2%D0%B0%D0%BD%D0%B8%D0%B5-%D0%B8-%D1%83%D1%87%D0%B5%D0%BD%D0%B5-%D0%BF%D1%80%D0%B5%D0%B7-%D1%86%D0%B5%D0%BB%D0%B8%D1%8F-%D0%B6%D0%B8%D0%B2%D0%BE%D1%8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infostat.nsi.bg/infostat/pages/external/login.jsf" TargetMode="Externa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nsi.bg/bg/content/3374/%D0%BE%D0%B1%D1%80%D0%B0%D0%B7%D0%BE%D0%B2%D0%B0%D0%BD%D0%B8%D0%B5-%D0%B8-%D1%83%D1%87%D0%B5%D0%BD%D0%B5-%D0%BF%D1%80%D0%B5%D0%B7-%D1%86%D0%B5%D0%BB%D0%B8%D1%8F-%D0%B6%D0%B8%D0%B2%D0%BE%D1%8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si-fs-05\SOK\Education\&#1048;&#1085;&#1090;&#1077;&#1088;&#1085;&#1077;&#1090;%202025\Grafiki_prilojenie_press_EDU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1.6771584654280462E-2"/>
          <c:y val="3.0690528843726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328258"/>
            </a:solidFill>
            <a:ln>
              <a:noFill/>
            </a:ln>
            <a:effectLst/>
          </c:spPr>
          <c:invertIfNegative val="0"/>
          <c:cat>
            <c:strRef>
              <c:f>Sredno!$O$1:$O$30</c:f>
              <c:strCache>
                <c:ptCount val="30"/>
                <c:pt idx="0">
                  <c:v>България</c:v>
                </c:pt>
                <c:pt idx="2">
                  <c:v>София (столица)</c:v>
                </c:pt>
                <c:pt idx="3">
                  <c:v>Смолян</c:v>
                </c:pt>
                <c:pt idx="4">
                  <c:v>Благоевград</c:v>
                </c:pt>
                <c:pt idx="5">
                  <c:v>Велико Търново</c:v>
                </c:pt>
                <c:pt idx="6">
                  <c:v>Варна</c:v>
                </c:pt>
                <c:pt idx="7">
                  <c:v>Русе</c:v>
                </c:pt>
                <c:pt idx="8">
                  <c:v>Разград</c:v>
                </c:pt>
                <c:pt idx="9">
                  <c:v>Габрово</c:v>
                </c:pt>
                <c:pt idx="10">
                  <c:v>Плевен</c:v>
                </c:pt>
                <c:pt idx="11">
                  <c:v>Шумен</c:v>
                </c:pt>
                <c:pt idx="12">
                  <c:v>Пловдив</c:v>
                </c:pt>
                <c:pt idx="13">
                  <c:v>Перник</c:v>
                </c:pt>
                <c:pt idx="14">
                  <c:v>Кърджали</c:v>
                </c:pt>
                <c:pt idx="15">
                  <c:v>Враца</c:v>
                </c:pt>
                <c:pt idx="16">
                  <c:v>Видин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Бургас</c:v>
                </c:pt>
                <c:pt idx="20">
                  <c:v>Стара Загора</c:v>
                </c:pt>
                <c:pt idx="21">
                  <c:v>Монтана</c:v>
                </c:pt>
                <c:pt idx="22">
                  <c:v>Пазарджик</c:v>
                </c:pt>
                <c:pt idx="23">
                  <c:v>Силистра</c:v>
                </c:pt>
                <c:pt idx="24">
                  <c:v>Търговище</c:v>
                </c:pt>
                <c:pt idx="25">
                  <c:v>Ямбол</c:v>
                </c:pt>
                <c:pt idx="26">
                  <c:v>София</c:v>
                </c:pt>
                <c:pt idx="27">
                  <c:v>Добрич</c:v>
                </c:pt>
                <c:pt idx="28">
                  <c:v>Хасково</c:v>
                </c:pt>
                <c:pt idx="29">
                  <c:v>Сливен</c:v>
                </c:pt>
              </c:strCache>
            </c:strRef>
          </c:cat>
          <c:val>
            <c:numRef>
              <c:f>Sredno!$P$1:$P$30</c:f>
              <c:numCache>
                <c:formatCode>General</c:formatCode>
                <c:ptCount val="30"/>
                <c:pt idx="0" formatCode="0.0">
                  <c:v>84.650686260245394</c:v>
                </c:pt>
                <c:pt idx="2" formatCode="0.0">
                  <c:v>93.062238824870207</c:v>
                </c:pt>
                <c:pt idx="3" formatCode="0.0">
                  <c:v>92.732007575757578</c:v>
                </c:pt>
                <c:pt idx="4" formatCode="0.0">
                  <c:v>92.427096187569006</c:v>
                </c:pt>
                <c:pt idx="5" formatCode="0.0">
                  <c:v>91.489592367736336</c:v>
                </c:pt>
                <c:pt idx="6" formatCode="0.0">
                  <c:v>88.66274108209592</c:v>
                </c:pt>
                <c:pt idx="7" formatCode="0.0">
                  <c:v>88.100399315459214</c:v>
                </c:pt>
                <c:pt idx="8" formatCode="0.0">
                  <c:v>87.403866140095616</c:v>
                </c:pt>
                <c:pt idx="9" formatCode="0.0">
                  <c:v>86.908841672378344</c:v>
                </c:pt>
                <c:pt idx="10" formatCode="0.0">
                  <c:v>86.045437753971186</c:v>
                </c:pt>
                <c:pt idx="11" formatCode="0.0">
                  <c:v>85.565912117177106</c:v>
                </c:pt>
                <c:pt idx="12" formatCode="0.0">
                  <c:v>84.972176454130008</c:v>
                </c:pt>
                <c:pt idx="13" formatCode="0.0">
                  <c:v>84.926946550767525</c:v>
                </c:pt>
                <c:pt idx="14" formatCode="0.0">
                  <c:v>83.92011834319527</c:v>
                </c:pt>
                <c:pt idx="15" formatCode="0.0">
                  <c:v>83.691709844559583</c:v>
                </c:pt>
                <c:pt idx="16" formatCode="0.0">
                  <c:v>82.847800237812123</c:v>
                </c:pt>
                <c:pt idx="17" formatCode="0.0">
                  <c:v>82.27233304423244</c:v>
                </c:pt>
                <c:pt idx="18" formatCode="0.0">
                  <c:v>81.959378733572279</c:v>
                </c:pt>
                <c:pt idx="19" formatCode="0.0">
                  <c:v>81.63816780366794</c:v>
                </c:pt>
                <c:pt idx="20" formatCode="0.0">
                  <c:v>81.241574115683377</c:v>
                </c:pt>
                <c:pt idx="21" formatCode="0.0">
                  <c:v>80.927743086529887</c:v>
                </c:pt>
                <c:pt idx="22" formatCode="0.0">
                  <c:v>79.565663474692201</c:v>
                </c:pt>
                <c:pt idx="23" formatCode="0.0">
                  <c:v>79.378909740840029</c:v>
                </c:pt>
                <c:pt idx="24" formatCode="0.0">
                  <c:v>78.456526165750347</c:v>
                </c:pt>
                <c:pt idx="25" formatCode="0.0">
                  <c:v>76.040074715571407</c:v>
                </c:pt>
                <c:pt idx="26" formatCode="0.0">
                  <c:v>75.934987766515206</c:v>
                </c:pt>
                <c:pt idx="27" formatCode="0.0">
                  <c:v>75.930487137383679</c:v>
                </c:pt>
                <c:pt idx="28" formatCode="0.0">
                  <c:v>75.338413267593012</c:v>
                </c:pt>
                <c:pt idx="29" formatCode="0.0">
                  <c:v>57.219865676917635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5-4962-9E32-F05DF1E0A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41654592"/>
        <c:axId val="1041646688"/>
      </c:barChart>
      <c:catAx>
        <c:axId val="104165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041646688"/>
        <c:crosses val="autoZero"/>
        <c:auto val="1"/>
        <c:lblAlgn val="ctr"/>
        <c:lblOffset val="100"/>
        <c:noMultiLvlLbl val="0"/>
      </c:catAx>
      <c:valAx>
        <c:axId val="104164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04165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Брой</a:t>
            </a:r>
            <a:endParaRPr lang="en-GB" sz="10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9.9520857765119777E-2"/>
          <c:y val="1.29310344827586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515013846047717"/>
          <c:y val="7.6700071581961349E-2"/>
          <c:w val="0.88350300079824184"/>
          <c:h val="0.7171319494154140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328258"/>
              </a:solidFill>
            </a:ln>
          </c:spPr>
          <c:marker>
            <c:symbol val="circle"/>
            <c:size val="6"/>
            <c:spPr>
              <a:solidFill>
                <a:srgbClr val="328258"/>
              </a:solidFill>
            </c:spPr>
          </c:marker>
          <c:dLbls>
            <c:dLbl>
              <c:idx val="0"/>
              <c:layout>
                <c:manualLayout>
                  <c:x val="-5.5894368870766549E-2"/>
                  <c:y val="-5.8600576262477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2D7-4EAD-94D9-F414DB199A07}"/>
                </c:ext>
              </c:extLst>
            </c:dLbl>
            <c:dLbl>
              <c:idx val="1"/>
              <c:layout>
                <c:manualLayout>
                  <c:x val="-6.0903732809430254E-2"/>
                  <c:y val="-7.123869088921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2D7-4EAD-94D9-F414DB199A07}"/>
                </c:ext>
              </c:extLst>
            </c:dLbl>
            <c:dLbl>
              <c:idx val="2"/>
              <c:layout>
                <c:manualLayout>
                  <c:x val="-8.9718402095612312E-2"/>
                  <c:y val="-5.4226466199254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2D7-4EAD-94D9-F414DB199A07}"/>
                </c:ext>
              </c:extLst>
            </c:dLbl>
            <c:dLbl>
              <c:idx val="3"/>
              <c:layout>
                <c:manualLayout>
                  <c:x val="-9.4957375788264409E-2"/>
                  <c:y val="-4.1346453877992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2D7-4EAD-94D9-F414DB199A07}"/>
                </c:ext>
              </c:extLst>
            </c:dLbl>
            <c:dLbl>
              <c:idx val="4"/>
              <c:layout>
                <c:manualLayout>
                  <c:x val="-3.2089063523248196E-2"/>
                  <c:y val="6.9112162802971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2D7-4EAD-94D9-F414DB199A07}"/>
                </c:ext>
              </c:extLst>
            </c:dLbl>
            <c:dLbl>
              <c:idx val="5"/>
              <c:layout>
                <c:manualLayout>
                  <c:x val="-5.1346274264245553E-2"/>
                  <c:y val="7.9825027259846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2D7-4EAD-94D9-F414DB199A07}"/>
                </c:ext>
              </c:extLst>
            </c:dLbl>
            <c:dLbl>
              <c:idx val="6"/>
              <c:layout>
                <c:manualLayout>
                  <c:x val="-3.3813400125234816E-2"/>
                  <c:y val="-6.4375329909604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2D7-4EAD-94D9-F414DB199A07}"/>
                </c:ext>
              </c:extLst>
            </c:dLbl>
            <c:numFmt formatCode="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Sredno!$B$43:$B$50</c:f>
              <c:strCache>
                <c:ptCount val="8"/>
                <c:pt idx="0">
                  <c:v>29 и по-малко</c:v>
                </c:pt>
                <c:pt idx="1">
                  <c:v>30 - 34</c:v>
                </c:pt>
                <c:pt idx="2">
                  <c:v>35 - 39</c:v>
                </c:pt>
                <c:pt idx="3">
                  <c:v>40 - 44</c:v>
                </c:pt>
                <c:pt idx="4">
                  <c:v>45 - 49</c:v>
                </c:pt>
                <c:pt idx="5">
                  <c:v>50 - 54</c:v>
                </c:pt>
                <c:pt idx="6">
                  <c:v>55 - 59</c:v>
                </c:pt>
                <c:pt idx="7">
                  <c:v>60 и повече години</c:v>
                </c:pt>
              </c:strCache>
            </c:strRef>
          </c:cat>
          <c:val>
            <c:numRef>
              <c:f>Sredno!$C$43:$C$50</c:f>
              <c:numCache>
                <c:formatCode>General</c:formatCode>
                <c:ptCount val="8"/>
                <c:pt idx="0">
                  <c:v>5178</c:v>
                </c:pt>
                <c:pt idx="1">
                  <c:v>4966</c:v>
                </c:pt>
                <c:pt idx="2">
                  <c:v>6733</c:v>
                </c:pt>
                <c:pt idx="3">
                  <c:v>7331</c:v>
                </c:pt>
                <c:pt idx="4">
                  <c:v>10298</c:v>
                </c:pt>
                <c:pt idx="5">
                  <c:v>11659</c:v>
                </c:pt>
                <c:pt idx="6">
                  <c:v>12428</c:v>
                </c:pt>
                <c:pt idx="7">
                  <c:v>10631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2D7-4EAD-94D9-F414DB199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74944"/>
        <c:axId val="41876480"/>
      </c:lineChart>
      <c:catAx>
        <c:axId val="4187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41876480"/>
        <c:crosses val="autoZero"/>
        <c:auto val="1"/>
        <c:lblAlgn val="ctr"/>
        <c:lblOffset val="100"/>
        <c:noMultiLvlLbl val="0"/>
      </c:catAx>
      <c:valAx>
        <c:axId val="41876480"/>
        <c:scaling>
          <c:orientation val="minMax"/>
          <c:min val="20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41874944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68599417021265"/>
          <c:y val="8.6549256104114902E-2"/>
          <c:w val="0.84914676056219052"/>
          <c:h val="0.709626385525934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'visshe-BG'!$C$2</c:f>
              <c:strCache>
                <c:ptCount val="1"/>
                <c:pt idx="0">
                  <c:v>В държавни висши училища</c:v>
                </c:pt>
              </c:strCache>
            </c:strRef>
          </c:tx>
          <c:spPr>
            <a:solidFill>
              <a:srgbClr val="328258"/>
            </a:solidFill>
          </c:spPr>
          <c:invertIfNegative val="0"/>
          <c:dLbls>
            <c:numFmt formatCode="0" sourceLinked="0"/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'visshe-BG'!$B$3:$B$7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'visshe-BG'!$C$3:$C$7</c:f>
              <c:numCache>
                <c:formatCode>General</c:formatCode>
                <c:ptCount val="5"/>
                <c:pt idx="0">
                  <c:v>6427</c:v>
                </c:pt>
                <c:pt idx="1">
                  <c:v>6369</c:v>
                </c:pt>
                <c:pt idx="2">
                  <c:v>5595</c:v>
                </c:pt>
                <c:pt idx="3">
                  <c:v>5223</c:v>
                </c:pt>
                <c:pt idx="4">
                  <c:v>5292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5-45E7-B091-271C59CEE0BC}"/>
            </c:ext>
          </c:extLst>
        </c:ser>
        <c:ser>
          <c:idx val="1"/>
          <c:order val="1"/>
          <c:tx>
            <c:strRef>
              <c:f>'visshe-BG'!$D$2</c:f>
              <c:strCache>
                <c:ptCount val="1"/>
                <c:pt idx="0">
                  <c:v>В частни висши училища</c:v>
                </c:pt>
              </c:strCache>
            </c:strRef>
          </c:tx>
          <c:spPr>
            <a:solidFill>
              <a:srgbClr val="4FBD81"/>
            </a:solidFill>
          </c:spPr>
          <c:invertIfNegative val="0"/>
          <c:dLbls>
            <c:dLbl>
              <c:idx val="0"/>
              <c:layout>
                <c:manualLayout>
                  <c:x val="1.02171116104802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D5-45E7-B091-271C59CEE0BC}"/>
                </c:ext>
              </c:extLst>
            </c:dLbl>
            <c:dLbl>
              <c:idx val="1"/>
              <c:layout>
                <c:manualLayout>
                  <c:x val="1.2771389513100329E-2"/>
                  <c:y val="-7.12658004238256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5D5-45E7-B091-271C59CEE0BC}"/>
                </c:ext>
              </c:extLst>
            </c:dLbl>
            <c:dLbl>
              <c:idx val="2"/>
              <c:layout>
                <c:manualLayout>
                  <c:x val="1.02171116104802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5D5-45E7-B091-271C59CEE0BC}"/>
                </c:ext>
              </c:extLst>
            </c:dLbl>
            <c:dLbl>
              <c:idx val="3"/>
              <c:layout>
                <c:manualLayout>
                  <c:x val="1.53256674157203E-2"/>
                  <c:y val="-7.12658004238256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5D5-45E7-B091-271C59CEE0BC}"/>
                </c:ext>
              </c:extLst>
            </c:dLbl>
            <c:dLbl>
              <c:idx val="4"/>
              <c:layout>
                <c:manualLayout>
                  <c:x val="1.5325667415720206E-2"/>
                  <c:y val="7.12658004238256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5D5-45E7-B091-271C59CEE0BC}"/>
                </c:ext>
              </c:extLst>
            </c:dLbl>
            <c:numFmt formatCode="0" sourceLinked="0"/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'visshe-BG'!$B$3:$B$7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'visshe-BG'!$D$3:$D$7</c:f>
              <c:numCache>
                <c:formatCode>General</c:formatCode>
                <c:ptCount val="5"/>
                <c:pt idx="0">
                  <c:v>1564</c:v>
                </c:pt>
                <c:pt idx="1">
                  <c:v>1430</c:v>
                </c:pt>
                <c:pt idx="2">
                  <c:v>1188</c:v>
                </c:pt>
                <c:pt idx="3">
                  <c:v>1098</c:v>
                </c:pt>
                <c:pt idx="4">
                  <c:v>1130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5D5-45E7-B091-271C59CEE0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20224"/>
        <c:axId val="42058880"/>
      </c:barChart>
      <c:catAx>
        <c:axId val="42020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42058880"/>
        <c:crosses val="autoZero"/>
        <c:auto val="1"/>
        <c:lblAlgn val="ctr"/>
        <c:lblOffset val="100"/>
        <c:noMultiLvlLbl val="0"/>
      </c:catAx>
      <c:valAx>
        <c:axId val="4205888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bg-BG" b="0">
                    <a:latin typeface="Times New Roman" pitchFamily="18" charset="0"/>
                    <a:cs typeface="Times New Roman" pitchFamily="18" charset="0"/>
                  </a:rPr>
                  <a:t>Брой</a:t>
                </a:r>
                <a:endParaRPr 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8.610565745603907E-2"/>
              <c:y val="2.392713757718692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420202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892671037586094"/>
          <c:y val="9.3067220764071146E-2"/>
          <c:w val="0.8714578934717373"/>
          <c:h val="0.782458078156897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328258"/>
            </a:solidFill>
          </c:spPr>
          <c:invertIfNegative val="0"/>
          <c:dLbls>
            <c:numFmt formatCode="0" sourceLinked="0"/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.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'visshe-BG'!$B$39:$B$43</c:f>
              <c:strCache>
                <c:ptCount val="5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  <c:pt idx="3">
                  <c:v>2023/2024</c:v>
                </c:pt>
                <c:pt idx="4">
                  <c:v>2024/2025</c:v>
                </c:pt>
              </c:strCache>
            </c:strRef>
          </c:cat>
          <c:val>
            <c:numRef>
              <c:f>'visshe-BG'!$C$39:$C$43</c:f>
              <c:numCache>
                <c:formatCode>General</c:formatCode>
                <c:ptCount val="5"/>
                <c:pt idx="0">
                  <c:v>16678</c:v>
                </c:pt>
                <c:pt idx="1">
                  <c:v>17616</c:v>
                </c:pt>
                <c:pt idx="2">
                  <c:v>17593</c:v>
                </c:pt>
                <c:pt idx="3">
                  <c:v>15093</c:v>
                </c:pt>
                <c:pt idx="4">
                  <c:v>16157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6-41F3-8FA8-CB365FC7B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83840"/>
        <c:axId val="42085376"/>
      </c:barChart>
      <c:catAx>
        <c:axId val="4208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42085376"/>
        <c:crosses val="autoZero"/>
        <c:auto val="1"/>
        <c:lblAlgn val="ctr"/>
        <c:lblOffset val="100"/>
        <c:noMultiLvlLbl val="0"/>
      </c:catAx>
      <c:valAx>
        <c:axId val="42085376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bg-BG" b="0">
                    <a:latin typeface="Times New Roman" pitchFamily="18" charset="0"/>
                    <a:cs typeface="Times New Roman" pitchFamily="18" charset="0"/>
                  </a:rPr>
                  <a:t>Брой</a:t>
                </a:r>
                <a:endParaRPr 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10256416578064728"/>
              <c:y val="3.1891955724836378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bg-BG"/>
          </a:p>
        </c:txPr>
        <c:crossAx val="42083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Брой</a:t>
            </a:r>
            <a:endParaRPr lang="en-GB" sz="1000" b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4290067032297383E-2"/>
          <c:y val="1.185185000846116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1425911797588369E-2"/>
          <c:y val="7.1111100050766984E-2"/>
          <c:w val="0.88176116925055303"/>
          <c:h val="0.74526734787326177"/>
        </c:manualLayout>
      </c:layout>
      <c:lineChart>
        <c:grouping val="standard"/>
        <c:varyColors val="0"/>
        <c:ser>
          <c:idx val="0"/>
          <c:order val="0"/>
          <c:tx>
            <c:strRef>
              <c:f>'visshe-BG'!$C$85</c:f>
              <c:strCache>
                <c:ptCount val="1"/>
                <c:pt idx="0">
                  <c:v>Новоприети</c:v>
                </c:pt>
              </c:strCache>
            </c:strRef>
          </c:tx>
          <c:spPr>
            <a:ln>
              <a:solidFill>
                <a:srgbClr val="328258"/>
              </a:solidFill>
            </a:ln>
          </c:spPr>
          <c:marker>
            <c:symbol val="diamond"/>
            <c:size val="8"/>
            <c:spPr>
              <a:solidFill>
                <a:srgbClr val="328258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5.3016453382084092E-2"/>
                  <c:y val="-4.246944026916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EF0-471E-9892-355D016358A7}"/>
                </c:ext>
              </c:extLst>
            </c:dLbl>
            <c:dLbl>
              <c:idx val="1"/>
              <c:layout>
                <c:manualLayout>
                  <c:x val="-5.0578915295551495E-2"/>
                  <c:y val="-4.6419745866472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EF0-471E-9892-355D016358A7}"/>
                </c:ext>
              </c:extLst>
            </c:dLbl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'visshe-BG'!$B$86:$B$90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'visshe-BG'!$C$86:$C$90</c:f>
              <c:numCache>
                <c:formatCode>General</c:formatCode>
                <c:ptCount val="5"/>
                <c:pt idx="0">
                  <c:v>1758</c:v>
                </c:pt>
                <c:pt idx="1">
                  <c:v>1910</c:v>
                </c:pt>
                <c:pt idx="2">
                  <c:v>1710</c:v>
                </c:pt>
                <c:pt idx="3">
                  <c:v>1728</c:v>
                </c:pt>
                <c:pt idx="4">
                  <c:v>1840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EF0-471E-9892-355D016358A7}"/>
            </c:ext>
          </c:extLst>
        </c:ser>
        <c:ser>
          <c:idx val="1"/>
          <c:order val="1"/>
          <c:tx>
            <c:strRef>
              <c:f>'visshe-BG'!$D$85</c:f>
              <c:strCache>
                <c:ptCount val="1"/>
                <c:pt idx="0">
                  <c:v>Учащи</c:v>
                </c:pt>
              </c:strCache>
            </c:strRef>
          </c:tx>
          <c:spPr>
            <a:ln>
              <a:solidFill>
                <a:srgbClr val="AEE0C5"/>
              </a:solidFill>
            </a:ln>
          </c:spPr>
          <c:marker>
            <c:spPr>
              <a:solidFill>
                <a:srgbClr val="AEE0C5"/>
              </a:solidFill>
              <a:ln>
                <a:noFill/>
              </a:ln>
            </c:spPr>
          </c:marker>
          <c:dLbls>
            <c:numFmt formatCode="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'visshe-BG'!$B$86:$B$90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'visshe-BG'!$D$86:$D$90</c:f>
              <c:numCache>
                <c:formatCode>General</c:formatCode>
                <c:ptCount val="5"/>
                <c:pt idx="0">
                  <c:v>6570</c:v>
                </c:pt>
                <c:pt idx="1">
                  <c:v>6542</c:v>
                </c:pt>
                <c:pt idx="2">
                  <c:v>6548</c:v>
                </c:pt>
                <c:pt idx="3">
                  <c:v>5184</c:v>
                </c:pt>
                <c:pt idx="4">
                  <c:v>5029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EF0-471E-9892-355D016358A7}"/>
            </c:ext>
          </c:extLst>
        </c:ser>
        <c:ser>
          <c:idx val="2"/>
          <c:order val="2"/>
          <c:tx>
            <c:strRef>
              <c:f>'visshe-BG'!$E$85</c:f>
              <c:strCache>
                <c:ptCount val="1"/>
                <c:pt idx="0">
                  <c:v>Дипломирани</c:v>
                </c:pt>
              </c:strCache>
            </c:strRef>
          </c:tx>
          <c:spPr>
            <a:ln>
              <a:solidFill>
                <a:srgbClr val="4FBD81"/>
              </a:solidFill>
            </a:ln>
          </c:spPr>
          <c:marker>
            <c:spPr>
              <a:solidFill>
                <a:srgbClr val="4FBD81"/>
              </a:solidFill>
              <a:ln>
                <a:solidFill>
                  <a:srgbClr val="4FBD81"/>
                </a:solidFill>
              </a:ln>
            </c:spPr>
          </c:marker>
          <c:dLbls>
            <c:dLbl>
              <c:idx val="0"/>
              <c:layout>
                <c:manualLayout>
                  <c:x val="-5.3016453382084092E-2"/>
                  <c:y val="4.8395054201216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EF0-471E-9892-355D016358A7}"/>
                </c:ext>
              </c:extLst>
            </c:dLbl>
            <c:dLbl>
              <c:idx val="1"/>
              <c:layout>
                <c:manualLayout>
                  <c:x val="-5.0578915295551495E-2"/>
                  <c:y val="5.2345670870703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EF0-471E-9892-355D016358A7}"/>
                </c:ext>
              </c:extLst>
            </c:dLbl>
            <c:dLbl>
              <c:idx val="2"/>
              <c:layout>
                <c:manualLayout>
                  <c:x val="-4.8141377209018892E-2"/>
                  <c:y val="4.8395054201216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EF0-471E-9892-355D016358A7}"/>
                </c:ext>
              </c:extLst>
            </c:dLbl>
            <c:dLbl>
              <c:idx val="3"/>
              <c:layout>
                <c:manualLayout>
                  <c:x val="-4.5752589884216939E-2"/>
                  <c:y val="4.3051767387690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EF0-471E-9892-355D016358A7}"/>
                </c:ext>
              </c:extLst>
            </c:dLbl>
            <c:dLbl>
              <c:idx val="4"/>
              <c:layout>
                <c:manualLayout>
                  <c:x val="-4.5752589884216939E-2"/>
                  <c:y val="4.3051767387690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EF0-471E-9892-355D016358A7}"/>
                </c:ext>
              </c:extLst>
            </c:dLbl>
            <c:numFmt formatCode="0" sourceLinked="0"/>
            <c:spPr>
              <a:pattFill prst="pct5">
                <a:fgClr>
                  <a:schemeClr val="bg1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'visshe-BG'!$B$86:$B$90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'visshe-BG'!$E$86:$E$90</c:f>
              <c:numCache>
                <c:formatCode>General</c:formatCode>
                <c:ptCount val="5"/>
                <c:pt idx="0">
                  <c:v>1097</c:v>
                </c:pt>
                <c:pt idx="1">
                  <c:v>1149</c:v>
                </c:pt>
                <c:pt idx="2">
                  <c:v>1101</c:v>
                </c:pt>
                <c:pt idx="3">
                  <c:v>955</c:v>
                </c:pt>
                <c:pt idx="4">
                  <c:v>1159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EF0-471E-9892-355D016358A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316160"/>
        <c:axId val="42317696"/>
      </c:lineChart>
      <c:catAx>
        <c:axId val="42316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42317696"/>
        <c:crosses val="autoZero"/>
        <c:auto val="1"/>
        <c:lblAlgn val="ctr"/>
        <c:lblOffset val="100"/>
        <c:noMultiLvlLbl val="0"/>
      </c:catAx>
      <c:valAx>
        <c:axId val="42317696"/>
        <c:scaling>
          <c:orientation val="minMax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4231616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26D5-29A4-4489-9CAC-B0263F9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Elena Tsankova</cp:lastModifiedBy>
  <cp:revision>56</cp:revision>
  <dcterms:created xsi:type="dcterms:W3CDTF">2024-12-23T09:14:00Z</dcterms:created>
  <dcterms:modified xsi:type="dcterms:W3CDTF">2025-05-16T07:43:00Z</dcterms:modified>
</cp:coreProperties>
</file>