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AEE3" w14:textId="77777777" w:rsidR="007C5E74" w:rsidRDefault="007C5E74" w:rsidP="007C5E7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68CDFC1A" w14:textId="77777777" w:rsidR="007C5E74" w:rsidRDefault="007C5E74" w:rsidP="007C5E7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</w:p>
    <w:p w14:paraId="414D4FC8" w14:textId="77777777" w:rsidR="007C5E74" w:rsidRPr="00F379D1" w:rsidRDefault="007C5E74" w:rsidP="007C5E74">
      <w:pPr>
        <w:tabs>
          <w:tab w:val="left" w:pos="3123"/>
        </w:tabs>
        <w:spacing w:before="160" w:after="160" w:line="360" w:lineRule="auto"/>
        <w:ind w:firstLine="567"/>
        <w:jc w:val="center"/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ДОХОДИ, РАЗХОДИ И ПОТРЕБЛЕНИЕ НА ДОМАКИНСТВАТА ПРЕЗ</w:t>
      </w:r>
      <w:r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0647D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ПЪРВОТО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ТРИМЕСЕЧИЕ НА 202</w:t>
      </w:r>
      <w:r w:rsidR="000647D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14:paraId="4DFA796E" w14:textId="77777777" w:rsidR="000E5AA2" w:rsidRPr="00F379D1" w:rsidRDefault="000E5AA2" w:rsidP="000E5AA2">
      <w:pPr>
        <w:tabs>
          <w:tab w:val="left" w:pos="3123"/>
        </w:tabs>
        <w:spacing w:before="160" w:after="160" w:line="360" w:lineRule="auto"/>
        <w:ind w:firstLine="567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Доходи на домакинствата</w:t>
      </w:r>
    </w:p>
    <w:p w14:paraId="1D115FA2" w14:textId="77777777" w:rsidR="000E5AA2" w:rsidRPr="0045093D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Тримесечният общ доход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средно на лице от домакинство през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777100">
        <w:rPr>
          <w:rFonts w:ascii="Verdana" w:eastAsia="Μοντέρνα" w:hAnsi="Verdana" w:cs="Times New Roman"/>
          <w:bCs/>
          <w:sz w:val="20"/>
          <w:szCs w:val="20"/>
          <w:lang w:eastAsia="bg-BG"/>
        </w:rPr>
        <w:t>271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и нараства 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77710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777100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спрямо същ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ия период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година.</w:t>
      </w:r>
    </w:p>
    <w:p w14:paraId="3E8E8831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структурата на общия доход с най-висок относителен дял е доходът от работна заплата (5</w:t>
      </w:r>
      <w:r w:rsidR="00320F2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F936A1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следван от доходите от пенсии (3</w:t>
      </w:r>
      <w:r w:rsidR="00320F2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20F2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 и от самостоятелна заетост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(7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320F2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%). Спрямо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дохода от самостоятелна заетост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се увеличава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1.</w:t>
      </w:r>
      <w:r w:rsidR="00320F2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</w:t>
      </w:r>
      <w:r w:rsidR="00320F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от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ботна заплата </w:t>
      </w:r>
      <w:r w:rsidR="00320F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с 0.</w:t>
      </w:r>
      <w:r w:rsidR="000346E0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пенсии 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с </w:t>
      </w:r>
      <w:r w:rsidR="000346E0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="006830CD">
        <w:rPr>
          <w:rFonts w:ascii="Verdana" w:eastAsia="Μοντέρνα" w:hAnsi="Verdana" w:cs="Times New Roman"/>
          <w:bCs/>
          <w:sz w:val="20"/>
          <w:szCs w:val="20"/>
          <w:lang w:eastAsia="bg-BG"/>
        </w:rPr>
        <w:t>.1</w:t>
      </w:r>
      <w:r w:rsidR="006830CD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процентни пункта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</w:p>
    <w:p w14:paraId="7D0B9E6F" w14:textId="77777777" w:rsidR="007C5E74" w:rsidRDefault="000E5AA2" w:rsidP="00BE4DA9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Фиг. 1. Структура на общия доход на домакинство през</w:t>
      </w:r>
      <w:r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="000647D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</w:t>
      </w:r>
      <w:r w:rsidR="000647D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2024</w:t>
      </w: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и </w:t>
      </w:r>
      <w:r w:rsidR="000647D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2025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14:paraId="41C9F1F9" w14:textId="77777777" w:rsidR="006A4C8F" w:rsidRDefault="00454199" w:rsidP="00180C16">
      <w:p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09E82A67" wp14:editId="2AAF6558">
            <wp:extent cx="5819775" cy="2472773"/>
            <wp:effectExtent l="0" t="0" r="9525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54BBCA" w14:textId="77777777" w:rsidR="000E5AA2" w:rsidRPr="00F379D1" w:rsidRDefault="000E5AA2" w:rsidP="00BE4DA9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 номинално изражение през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в сравнение със същото тримесечие 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доходите средно на лице от домакинство по източници се променят, както следва:</w:t>
      </w:r>
    </w:p>
    <w:p w14:paraId="7CB52885" w14:textId="77777777" w:rsidR="000E5AA2" w:rsidRPr="00850CE1" w:rsidRDefault="000E5AA2" w:rsidP="000E5AA2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</w:t>
      </w:r>
      <w:r w:rsidRPr="00FB31F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работна заплата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</w:t>
      </w:r>
      <w:r w:rsidR="007C645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1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97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B31FB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B31F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4CE06523" w14:textId="77777777" w:rsidR="000E5AA2" w:rsidRPr="0056049A" w:rsidRDefault="000E5AA2" w:rsidP="000E5AA2">
      <w:pPr>
        <w:pStyle w:val="ListParagraph"/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</w:t>
      </w:r>
      <w:r w:rsidRPr="00707D9C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самостоятелна заетост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</w:t>
      </w:r>
      <w:r w:rsidR="007C645A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от 1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2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29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42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707D9C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707D9C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5794BC11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пенсии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8</w:t>
      </w:r>
      <w:r w:rsidR="006D2FF3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10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30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1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0F7C56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7FFFB588" w14:textId="77777777" w:rsidR="00D867F3" w:rsidRPr="007C645A" w:rsidRDefault="000E5AA2" w:rsidP="002D2874">
      <w:pPr>
        <w:numPr>
          <w:ilvl w:val="0"/>
          <w:numId w:val="1"/>
        </w:numPr>
        <w:tabs>
          <w:tab w:val="left" w:pos="3123"/>
        </w:tabs>
        <w:spacing w:after="160"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социалн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о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безщетения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и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/>
          <w:bCs/>
          <w:sz w:val="20"/>
          <w:szCs w:val="20"/>
          <w:lang w:eastAsia="bg-BG"/>
        </w:rPr>
        <w:t>помощи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73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32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0F7C5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14:paraId="0FE42F0D" w14:textId="77777777" w:rsidR="000E5AA2" w:rsidRPr="001269DB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През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 на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паричния доход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домакинствата в общия доход е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1269D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%, а делът на дохода от натура - 0.</w:t>
      </w:r>
      <w:r w:rsidR="001269DB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%.</w:t>
      </w:r>
    </w:p>
    <w:p w14:paraId="3FEDB6F3" w14:textId="77777777" w:rsidR="000E5AA2" w:rsidRPr="00F379D1" w:rsidRDefault="000E5AA2" w:rsidP="000E5AA2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Разходи на домакинствата</w:t>
      </w:r>
    </w:p>
    <w:p w14:paraId="1D906F15" w14:textId="77777777" w:rsidR="000E5AA2" w:rsidRPr="00F379D1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Тримесечният общ разход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средно на лице от домакинство през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е 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861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и се увеличава с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306D5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 спрямо същия период на предходната година.</w:t>
      </w:r>
    </w:p>
    <w:p w14:paraId="49023432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структурата на общия разход с най-голям относителен дял са разходите за храна и безалкохолни напитки (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30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%), следвани от разходите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жилище (1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%),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 данъци и социални осигуровки (1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 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транспорт и съобщения (11.</w:t>
      </w:r>
      <w:r w:rsidR="00DF1544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14:paraId="74994B83" w14:textId="77777777" w:rsidR="000E5AA2" w:rsidRDefault="000E5AA2" w:rsidP="000E5AA2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Фиг. 2. Структура на общия разход на домакинство през</w:t>
      </w:r>
      <w:r>
        <w:rPr>
          <w:rFonts w:ascii="Verdana" w:eastAsia="Μοντέρνα" w:hAnsi="Verdana" w:cs="Times New Roman"/>
          <w:b/>
          <w:iCs/>
          <w:sz w:val="20"/>
          <w:szCs w:val="20"/>
          <w:lang w:val="en-US" w:eastAsia="bg-BG"/>
        </w:rPr>
        <w:t xml:space="preserve"> </w:t>
      </w:r>
      <w:r w:rsidR="000647D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първото</w:t>
      </w: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</w:t>
      </w:r>
      <w:r w:rsidR="000647D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2024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и </w:t>
      </w:r>
      <w:r w:rsidR="000647D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2025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p w14:paraId="37F2C944" w14:textId="77777777" w:rsidR="000E5AA2" w:rsidRDefault="00002041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5CFB617" wp14:editId="2C895105">
            <wp:extent cx="5346700" cy="6074796"/>
            <wp:effectExtent l="0" t="0" r="6350" b="254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200619" w14:textId="77777777" w:rsidR="000E5AA2" w:rsidRDefault="000E5AA2" w:rsidP="00BE4DA9">
      <w:p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7F96E976" w14:textId="77777777" w:rsidR="000E5AA2" w:rsidRPr="004317D3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lastRenderedPageBreak/>
        <w:t xml:space="preserve">Спрямо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тримесечие 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относителният дял на разходите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за храна и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безалкохолни напитки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317D3"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нараства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0.2 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процентни пункта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5F057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данъци и социални осигуровки 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 </w:t>
      </w:r>
      <w:r w:rsidR="00DC3567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процентн</w:t>
      </w:r>
      <w:r w:rsidR="00DC356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и</w:t>
      </w:r>
      <w:r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пункт</w:t>
      </w:r>
      <w:r w:rsidR="00DC3567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,</w:t>
      </w:r>
      <w:r w:rsidR="004317D3" w:rsidRP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</w:t>
      </w:r>
      <w:r w:rsidR="004317D3"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транспорт и съобщения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- с </w:t>
      </w:r>
      <w:r w:rsidR="004317D3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0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.4 процентни</w:t>
      </w:r>
      <w:r w:rsidR="004317D3"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пункт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а,</w:t>
      </w:r>
      <w:r w:rsidR="004317D3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а </w:t>
      </w:r>
      <w:r w:rsidR="004317D3"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жилище намалява с 0</w:t>
      </w:r>
      <w:r w:rsidR="004317D3"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5</w:t>
      </w:r>
      <w:r w:rsidR="004317D3" w:rsidRP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4317D3" w:rsidRPr="00742A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процентни пункта</w:t>
      </w:r>
      <w:r w:rsidR="004317D3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</w:p>
    <w:p w14:paraId="5B8741C9" w14:textId="77777777" w:rsidR="000E5AA2" w:rsidRPr="00F379D1" w:rsidRDefault="000E5AA2" w:rsidP="00BE4DA9">
      <w:pPr>
        <w:tabs>
          <w:tab w:val="left" w:pos="3123"/>
        </w:tabs>
        <w:spacing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Като абсолютни стойности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през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в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сравнение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със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същото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тримесечие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г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.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средно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лице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от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домакинство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разходите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видове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променят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както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 w:hint="cs"/>
          <w:bCs/>
          <w:sz w:val="20"/>
          <w:szCs w:val="20"/>
          <w:lang w:eastAsia="bg-BG"/>
        </w:rPr>
        <w:t>следва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:</w:t>
      </w:r>
    </w:p>
    <w:p w14:paraId="6EF3A7D7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храна и безалкохолни напитки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59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147ACB8F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алкохолни напитки и цигари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02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45DFE884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облекло и обувки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нарастват от 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83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86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39E7F94E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за</w:t>
      </w:r>
      <w:r w:rsidR="002F48D7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жилище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(вода, електроенергия, отопление, обзавеждане и поддържане на дома)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31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75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1353E7A7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здравеопазване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1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69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1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="00EC01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14EA9BA1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транспорт и съобщения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нарастват от 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285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31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.</w:t>
      </w:r>
      <w:r w:rsidR="00E35396">
        <w:rPr>
          <w:rFonts w:ascii="Verdana" w:eastAsia="Μοντέρνα" w:hAnsi="Verdana" w:cs="Times New Roman"/>
          <w:bCs/>
          <w:sz w:val="20"/>
          <w:szCs w:val="20"/>
          <w:lang w:val="ru-RU" w:eastAsia="bg-BG"/>
        </w:rPr>
        <w:t>2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07613E8B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свободно време, културен отдих и образование 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се увеличават от 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01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7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467EC2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E35396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</w:t>
      </w:r>
      <w:r w:rsidRPr="00F379D1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;</w:t>
      </w:r>
    </w:p>
    <w:p w14:paraId="38A8FFD0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за </w:t>
      </w: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данъци и социални осигуровки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се увеличават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3</w:t>
      </w:r>
      <w:r w:rsidR="001807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75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="001807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43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лв. (с </w:t>
      </w:r>
      <w:r w:rsidR="001807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18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1807F6"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%).</w:t>
      </w:r>
    </w:p>
    <w:p w14:paraId="466A9392" w14:textId="77777777" w:rsidR="000E5AA2" w:rsidRPr="00923A19" w:rsidRDefault="000E5AA2" w:rsidP="000E5AA2">
      <w:pPr>
        <w:tabs>
          <w:tab w:val="left" w:pos="3123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Потребление на домакинствата</w:t>
      </w:r>
    </w:p>
    <w:p w14:paraId="01AC2D0C" w14:textId="77777777" w:rsidR="000E5AA2" w:rsidRPr="00F379D1" w:rsidRDefault="000E5AA2" w:rsidP="00BE4DA9">
      <w:pPr>
        <w:tabs>
          <w:tab w:val="left" w:pos="3123"/>
        </w:tabs>
        <w:spacing w:after="16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Потреблението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основни 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>хранителни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продукти средно на лице от домакинство през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първото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тримесечие 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2025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се променя в сравнение със същия период на </w:t>
      </w:r>
      <w:r w:rsidR="000647DD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2024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г., както следва:</w:t>
      </w:r>
    </w:p>
    <w:p w14:paraId="4548D324" w14:textId="77777777" w:rsidR="000E5AA2" w:rsidRPr="006A4902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Между продуктите, на които нараства потреблението, с най-голямо увеличение са плодовете - от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502B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502B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4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 w:rsidR="00923A19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1</w:t>
      </w:r>
      <w:r w:rsidR="00502B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2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502B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 w:rsidRPr="006A4902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килограма</w:t>
      </w:r>
      <w:r w:rsidR="00AC1C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;</w:t>
      </w:r>
    </w:p>
    <w:p w14:paraId="15D8E53F" w14:textId="77777777" w:rsidR="000E5AA2" w:rsidRPr="006A4902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Най-голямо нам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аление има при потреблението на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хляб и тестени изделия - от 18.</w:t>
      </w:r>
      <w:r w:rsidR="00502B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0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на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</w:t>
      </w:r>
      <w:r w:rsidR="00502B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6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>.</w:t>
      </w:r>
      <w:r w:rsidR="00502B33">
        <w:rPr>
          <w:rFonts w:ascii="Verdana" w:eastAsia="Μοντέρνα" w:hAnsi="Verdana" w:cs="Times New Roman"/>
          <w:bCs/>
          <w:sz w:val="20"/>
          <w:szCs w:val="20"/>
          <w:lang w:eastAsia="bg-BG"/>
        </w:rPr>
        <w:t>9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килограма</w:t>
      </w:r>
      <w:r w:rsidR="00AC1CC7">
        <w:rPr>
          <w:rFonts w:ascii="Verdana" w:eastAsia="Μοντέρνα" w:hAnsi="Verdana" w:cs="Times New Roman"/>
          <w:bCs/>
          <w:sz w:val="20"/>
          <w:szCs w:val="20"/>
          <w:lang w:eastAsia="bg-BG"/>
        </w:rPr>
        <w:t>;</w:t>
      </w:r>
      <w:r w:rsidRPr="00F379D1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</w:p>
    <w:p w14:paraId="3CDF7236" w14:textId="77777777" w:rsidR="000E5AA2" w:rsidRPr="00F379D1" w:rsidRDefault="000E5AA2" w:rsidP="000E5AA2">
      <w:pPr>
        <w:numPr>
          <w:ilvl w:val="0"/>
          <w:numId w:val="1"/>
        </w:numPr>
        <w:tabs>
          <w:tab w:val="left" w:pos="3123"/>
        </w:tabs>
        <w:spacing w:line="360" w:lineRule="auto"/>
        <w:ind w:left="924" w:hanging="357"/>
        <w:jc w:val="both"/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Без промяна остава потреблението на </w:t>
      </w:r>
      <w:r w:rsidR="00923A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яйца</w:t>
      </w:r>
      <w:r w:rsidR="00502B3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, </w:t>
      </w:r>
      <w:r w:rsidR="00923A19">
        <w:rPr>
          <w:rFonts w:ascii="Verdana" w:eastAsia="Μοντέρνα" w:hAnsi="Verdana" w:cs="Times New Roman"/>
          <w:bCs/>
          <w:sz w:val="20"/>
          <w:szCs w:val="20"/>
          <w:lang w:eastAsia="bg-BG"/>
        </w:rPr>
        <w:t>зрял фасул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="00502B33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и захар 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(виж таблица</w:t>
      </w:r>
      <w:r w:rsidR="002C1C87">
        <w:rPr>
          <w:rFonts w:ascii="Verdana" w:eastAsia="Μοντέρνα" w:hAnsi="Verdana" w:cs="Times New Roman"/>
          <w:bCs/>
          <w:sz w:val="20"/>
          <w:szCs w:val="20"/>
          <w:lang w:eastAsia="bg-BG"/>
        </w:rPr>
        <w:t> </w:t>
      </w:r>
      <w:r>
        <w:rPr>
          <w:rFonts w:ascii="Verdana" w:eastAsia="Μοντέρνα" w:hAnsi="Verdana" w:cs="Times New Roman"/>
          <w:bCs/>
          <w:sz w:val="20"/>
          <w:szCs w:val="20"/>
          <w:lang w:eastAsia="bg-BG"/>
        </w:rPr>
        <w:t>1).</w:t>
      </w:r>
    </w:p>
    <w:p w14:paraId="632D50AA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5C7C7BCC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2EA62C7C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38054FB0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3ECEE715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2283E9CC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39ACF06E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3A908414" w14:textId="77777777" w:rsidR="000E5AA2" w:rsidRDefault="000E5AA2" w:rsidP="00BE4DA9">
      <w:p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5527BE1E" w14:textId="77777777" w:rsidR="000E5AA2" w:rsidRDefault="000E5AA2" w:rsidP="000E5AA2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lastRenderedPageBreak/>
        <w:t xml:space="preserve">Таблица </w:t>
      </w:r>
      <w:r w:rsidRPr="00F379D1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1. П</w:t>
      </w:r>
      <w:r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отребление на основни хранителни продукти средно на лице от домакинство през </w:t>
      </w:r>
      <w:r w:rsidR="000647D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първото</w:t>
      </w:r>
      <w:r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тримесечие на </w:t>
      </w:r>
      <w:r w:rsidR="000647D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2024</w:t>
      </w:r>
      <w:r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и </w:t>
      </w:r>
      <w:r w:rsidR="000647DD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>2025</w:t>
      </w:r>
      <w:r w:rsidRPr="004A4745">
        <w:rPr>
          <w:rFonts w:ascii="Verdana" w:eastAsia="Μοντέρνα" w:hAnsi="Verdana" w:cs="Times New Roman"/>
          <w:b/>
          <w:iCs/>
          <w:sz w:val="20"/>
          <w:szCs w:val="20"/>
          <w:lang w:eastAsia="bg-BG"/>
        </w:rPr>
        <w:t xml:space="preserve"> година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0E5AA2" w:rsidRPr="00F379D1" w14:paraId="34933CE3" w14:textId="77777777" w:rsidTr="00BC434F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57058" w14:textId="77777777" w:rsidR="000E5AA2" w:rsidRPr="008B6824" w:rsidRDefault="000E5AA2" w:rsidP="001E44F9">
            <w:pPr>
              <w:tabs>
                <w:tab w:val="left" w:pos="3123"/>
              </w:tabs>
              <w:spacing w:line="360" w:lineRule="auto"/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Продукти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3CBF0" w14:textId="77777777" w:rsidR="000E5AA2" w:rsidRPr="008B6824" w:rsidRDefault="000647DD" w:rsidP="001E44F9">
            <w:pPr>
              <w:tabs>
                <w:tab w:val="left" w:pos="3123"/>
              </w:tabs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Първо</w:t>
            </w:r>
            <w:r w:rsidR="000E5AA2"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тримесечие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3ACA6" w14:textId="77777777" w:rsidR="000E5AA2" w:rsidRPr="008B6824" w:rsidRDefault="000647DD" w:rsidP="001E44F9">
            <w:pPr>
              <w:tabs>
                <w:tab w:val="left" w:pos="3123"/>
              </w:tabs>
              <w:ind w:firstLine="567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Първо</w:t>
            </w:r>
            <w:r w:rsidR="000E5AA2" w:rsidRPr="008B6824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тримесечие </w:t>
            </w:r>
            <w: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2025</w:t>
            </w:r>
          </w:p>
        </w:tc>
      </w:tr>
      <w:tr w:rsidR="00D354CA" w:rsidRPr="00F379D1" w14:paraId="6AF81D1D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AF7A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Хляб и тестени изделия - кг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9B16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18.0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6492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16.9</w:t>
            </w:r>
          </w:p>
        </w:tc>
      </w:tr>
      <w:tr w:rsidR="00D354CA" w:rsidRPr="00F379D1" w14:paraId="12D4D380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C6D6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Месо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EFC2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10.0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D484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10.2</w:t>
            </w:r>
          </w:p>
        </w:tc>
      </w:tr>
      <w:tr w:rsidR="00D354CA" w:rsidRPr="00F379D1" w14:paraId="0411D5B9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9F9C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Месни произведения 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C970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4.3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9625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4.2</w:t>
            </w:r>
          </w:p>
        </w:tc>
      </w:tr>
      <w:tr w:rsidR="00D354CA" w:rsidRPr="00F379D1" w14:paraId="42A88EB1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CA3D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Мляко прясно - 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4A32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4.9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374E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5.0</w:t>
            </w:r>
          </w:p>
        </w:tc>
      </w:tr>
      <w:tr w:rsidR="00D354CA" w:rsidRPr="00F379D1" w14:paraId="1768FB4D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6F098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Мляко кисело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8DE53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6.8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C73B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6.9</w:t>
            </w:r>
          </w:p>
        </w:tc>
      </w:tr>
      <w:tr w:rsidR="00D354CA" w:rsidRPr="00F379D1" w14:paraId="601F7E0C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7CC9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Сирене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ED42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2.8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C654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2.7</w:t>
            </w:r>
          </w:p>
        </w:tc>
      </w:tr>
      <w:tr w:rsidR="00D354CA" w:rsidRPr="00F379D1" w14:paraId="2D8AD114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8407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Яйца - бр.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C913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B126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41</w:t>
            </w:r>
          </w:p>
        </w:tc>
      </w:tr>
      <w:tr w:rsidR="00D354CA" w:rsidRPr="00F379D1" w14:paraId="6D849835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B0AD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Олио - л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B077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2.5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BA58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2.4</w:t>
            </w:r>
          </w:p>
        </w:tc>
      </w:tr>
      <w:tr w:rsidR="00D354CA" w:rsidRPr="00F379D1" w14:paraId="4C0C3DC3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2C15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Плодове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DACC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12.4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1B4A8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12.9</w:t>
            </w:r>
          </w:p>
        </w:tc>
      </w:tr>
      <w:tr w:rsidR="00D354CA" w:rsidRPr="00F379D1" w14:paraId="529CD3C5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4C8B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Зеленчуци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16C8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14.3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EFE4" w14:textId="77777777" w:rsidR="00D354CA" w:rsidRPr="00D354CA" w:rsidRDefault="00D354CA" w:rsidP="00012F10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</w:t>
            </w:r>
            <w:r w:rsidR="00012F10">
              <w:rPr>
                <w:rFonts w:ascii="Verdana" w:hAnsi="Verdana" w:cs="Tahoma"/>
                <w:sz w:val="16"/>
                <w:szCs w:val="16"/>
                <w:lang w:val="en-US"/>
              </w:rPr>
              <w:t>4</w:t>
            </w:r>
            <w:r w:rsidRPr="00D354CA">
              <w:rPr>
                <w:rFonts w:ascii="Verdana" w:hAnsi="Verdana" w:cs="Tahoma"/>
                <w:sz w:val="16"/>
                <w:szCs w:val="16"/>
              </w:rPr>
              <w:t>.</w:t>
            </w:r>
            <w:r w:rsidR="00012F10">
              <w:rPr>
                <w:rFonts w:ascii="Verdana" w:hAnsi="Verdana" w:cs="Tahoma"/>
                <w:sz w:val="16"/>
                <w:szCs w:val="16"/>
                <w:lang w:val="en-US"/>
              </w:rPr>
              <w:t>5</w:t>
            </w:r>
          </w:p>
        </w:tc>
      </w:tr>
      <w:tr w:rsidR="00D354CA" w:rsidRPr="00F379D1" w14:paraId="275A6F1E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1384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Фасул, зрял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9ED2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1.0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BF66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1.0</w:t>
            </w:r>
          </w:p>
        </w:tc>
      </w:tr>
      <w:tr w:rsidR="00D354CA" w:rsidRPr="00F379D1" w14:paraId="753B017A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9B2D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Картофи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FFE9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6.8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8370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6.7</w:t>
            </w:r>
          </w:p>
        </w:tc>
      </w:tr>
      <w:tr w:rsidR="00D354CA" w:rsidRPr="00F379D1" w14:paraId="3E9CE203" w14:textId="77777777" w:rsidTr="00D354C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A273" w14:textId="77777777" w:rsidR="00D354CA" w:rsidRPr="008B6824" w:rsidRDefault="00D354CA" w:rsidP="00D354CA">
            <w:pPr>
              <w:tabs>
                <w:tab w:val="left" w:pos="3123"/>
              </w:tabs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8B6824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Захар - кг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0831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27BB" w14:textId="77777777" w:rsidR="00D354CA" w:rsidRPr="00D354CA" w:rsidRDefault="00D354CA" w:rsidP="00D354CA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D354CA">
              <w:rPr>
                <w:rFonts w:ascii="Verdana" w:hAnsi="Verdana" w:cs="Tahoma"/>
                <w:sz w:val="16"/>
                <w:szCs w:val="16"/>
              </w:rPr>
              <w:t>1.3</w:t>
            </w:r>
          </w:p>
        </w:tc>
      </w:tr>
    </w:tbl>
    <w:p w14:paraId="239765F6" w14:textId="77777777" w:rsidR="000E5AA2" w:rsidRDefault="000E5AA2" w:rsidP="000E5AA2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22F42D2" w14:textId="77777777" w:rsidR="000E5AA2" w:rsidRPr="000E5AA2" w:rsidRDefault="000E5AA2" w:rsidP="000E5AA2">
      <w:pPr>
        <w:tabs>
          <w:tab w:val="left" w:pos="3123"/>
        </w:tabs>
        <w:spacing w:line="360" w:lineRule="auto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14:paraId="6A232B75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247180C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C726E75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D04602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BE8EC31" w14:textId="77777777" w:rsidR="00D83F28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1B9E699" w14:textId="77777777"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3D04A68" w14:textId="77777777"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8C354EB" w14:textId="77777777"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89D8CBF" w14:textId="77777777"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F2D38E8" w14:textId="77777777"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4ECD4A1" w14:textId="77777777"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CA5EEBE" w14:textId="77777777" w:rsidR="000E5AA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4C4C916" w14:textId="77777777" w:rsidR="000E5AA2" w:rsidRPr="00F76D42" w:rsidRDefault="000E5AA2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C63379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557A924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F00A065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616261F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7AC14E85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4EE4DA8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526244A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434AE0D5" w14:textId="77777777" w:rsidR="000E5AA2" w:rsidRPr="00F379D1" w:rsidRDefault="000E5AA2" w:rsidP="000E5AA2">
      <w:pPr>
        <w:tabs>
          <w:tab w:val="left" w:pos="3123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379D1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2AA01CD4" w14:textId="77777777"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Данните са получени от </w:t>
      </w: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тримесечното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Наблюдение на домакинските бюджети. Наблюдението е репрезентативно, като се използва случайна извадка от 3</w:t>
      </w:r>
      <w:r w:rsidRPr="00064EF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>060 домакинства.</w:t>
      </w:r>
    </w:p>
    <w:p w14:paraId="5B7EB580" w14:textId="77777777"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Обикновено домакинство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образуват две или повече лица, които живеят в едно жилище или в част от жилище, хранят се заедно и имат общ бюджет, независимо от това дали имат роднински връзки помежду си. Домакинство е и едно лице, което живее самостоятелно, храни се отделно и има свой отделен бюджет. </w:t>
      </w:r>
    </w:p>
    <w:p w14:paraId="2705CA17" w14:textId="77777777"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>Колективните домакинства не са обект на изучаване на домакинските бюджети.</w:t>
      </w:r>
    </w:p>
    <w:p w14:paraId="24269EFC" w14:textId="77777777"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Основните показатели за доходите, разходите и потреблението се оценяват </w:t>
      </w: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тримесечно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годишно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се представят под формата на средни величини и относителни дялове.</w:t>
      </w:r>
    </w:p>
    <w:p w14:paraId="78AE0016" w14:textId="77777777"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Доходите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домакинствата в пари и натура включват доходите на всички членове на домакинството от работна заплата, пенсии, самостоятелна заетост, обезщетения за безработни, социални помощи и други. Включват се и други доходи, общи за домакинството, като регулярни или еднократни трансфери от други домакинства и продажби на имущество. </w:t>
      </w:r>
    </w:p>
    <w:p w14:paraId="46464454" w14:textId="77777777"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Разходите 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домакинствата включват разходите за храна, напитки, тютюневи изделия, жилище (вода, електроенергия, отопление, обзавеждане и поддържане), транспорт, съобщения, здравеопазване, данъци, социални осигуровки и други. </w:t>
      </w:r>
    </w:p>
    <w:p w14:paraId="10B81991" w14:textId="77777777" w:rsidR="000E5AA2" w:rsidRPr="00064EF6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64EF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Потреблението 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средно на лице от домакинство представлява количествата консумирани хранителни продукти и напитки при домашни условия и не включва консумацията в заведения за обществено хранене. </w:t>
      </w:r>
    </w:p>
    <w:p w14:paraId="01B99B5C" w14:textId="77777777" w:rsidR="000E5AA2" w:rsidRPr="00F379D1" w:rsidRDefault="000E5AA2" w:rsidP="000E5AA2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>Подробна информация за Наблюдението на домакинските бюджети и резултатите от него са публикувани на сайта на НСИ (</w:t>
      </w:r>
      <w:hyperlink r:id="rId10" w:history="1">
        <w:r w:rsidRPr="00064EF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</w:t>
        </w:r>
      </w:hyperlink>
      <w:r w:rsidRPr="00D303C3">
        <w:rPr>
          <w:rFonts w:ascii="Verdana" w:eastAsia="Μοντέρνα" w:hAnsi="Verdana" w:cs="Times New Roman"/>
          <w:sz w:val="20"/>
          <w:szCs w:val="20"/>
          <w:lang w:eastAsia="bg-BG"/>
        </w:rPr>
        <w:t>)</w:t>
      </w:r>
      <w:r w:rsidRPr="00064EF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рубрика „Доходи, разходи и потребление на домакинствата“ и в Информационна система ИНФОСТАТ.</w:t>
      </w:r>
      <w:r w:rsidRPr="00F379D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379D1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</w:p>
    <w:p w14:paraId="4889B711" w14:textId="77777777" w:rsidR="000E5AA2" w:rsidRDefault="000E5AA2" w:rsidP="000E5AA2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6640EC2E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3B18BDB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2D4F4706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55646B5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0876273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7CA6D0D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BC654ED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32B4F3B2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62F5C735" w14:textId="77777777" w:rsidR="00D83F28" w:rsidRPr="00F76D42" w:rsidRDefault="00D83F28" w:rsidP="00EA2B6C">
      <w:pPr>
        <w:spacing w:line="360" w:lineRule="auto"/>
        <w:jc w:val="both"/>
        <w:rPr>
          <w:rFonts w:ascii="Verdana" w:hAnsi="Verdana"/>
          <w:sz w:val="20"/>
        </w:rPr>
      </w:pPr>
    </w:p>
    <w:sectPr w:rsidR="00D83F28" w:rsidRPr="00F76D42" w:rsidSect="006A4C8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E11B4" w14:textId="77777777" w:rsidR="006F612E" w:rsidRDefault="006F612E" w:rsidP="00D83F28">
      <w:r>
        <w:separator/>
      </w:r>
    </w:p>
  </w:endnote>
  <w:endnote w:type="continuationSeparator" w:id="0">
    <w:p w14:paraId="21B53510" w14:textId="77777777" w:rsidR="006F612E" w:rsidRDefault="006F612E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1D2D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9BF400" wp14:editId="0AEC878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B15D9" w14:textId="77777777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287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D287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F174218" wp14:editId="2A4F7194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4C512F5" wp14:editId="577512D3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6B44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98CFD2" wp14:editId="5469AE0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E3F5E" w14:textId="77777777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287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D287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5468E1F" wp14:editId="2EC728F5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0D81B" w14:textId="77777777" w:rsidR="006F612E" w:rsidRDefault="006F612E" w:rsidP="00D83F28">
      <w:r>
        <w:separator/>
      </w:r>
    </w:p>
  </w:footnote>
  <w:footnote w:type="continuationSeparator" w:id="0">
    <w:p w14:paraId="37388561" w14:textId="77777777" w:rsidR="006F612E" w:rsidRDefault="006F612E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B5D26" w14:textId="77777777" w:rsidR="00D83F28" w:rsidRPr="000E5AA2" w:rsidRDefault="000E5AA2" w:rsidP="002D2874">
    <w:pPr>
      <w:tabs>
        <w:tab w:val="left" w:pos="3123"/>
      </w:tabs>
      <w:spacing w:after="240" w:line="360" w:lineRule="auto"/>
      <w:ind w:firstLine="567"/>
      <w:jc w:val="center"/>
      <w:rPr>
        <w:rFonts w:ascii="Verdana" w:eastAsia="Μοντέρνα" w:hAnsi="Verdana" w:cs="Times New Roman"/>
        <w:b/>
        <w:bCs/>
        <w:sz w:val="20"/>
        <w:szCs w:val="20"/>
        <w:lang w:val="en-US" w:eastAsia="bg-BG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10022D4C" wp14:editId="3E906C6A">
              <wp:simplePos x="0" y="0"/>
              <wp:positionH relativeFrom="margin">
                <wp:posOffset>0</wp:posOffset>
              </wp:positionH>
              <wp:positionV relativeFrom="paragraph">
                <wp:posOffset>422413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54C715" id="Graphic 7" o:spid="_x0000_s1026" style="position:absolute;margin-left:0;margin-top:33.2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Axp5uj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F379D1">
      <w:rPr>
        <w:rFonts w:ascii="Verdana" w:eastAsia="Μοντέρνα" w:hAnsi="Verdana" w:cs="Times New Roman"/>
        <w:b/>
        <w:bCs/>
        <w:sz w:val="20"/>
        <w:szCs w:val="20"/>
        <w:lang w:eastAsia="bg-BG"/>
      </w:rPr>
      <w:t>ДОХОДИ, РАЗХОДИ И ПОТРЕБЛЕНИЕ НА ДОМАКИНСТВАТА ПРЕЗ</w:t>
    </w:r>
    <w:r>
      <w:rPr>
        <w:rFonts w:ascii="Verdana" w:eastAsia="Μοντέρνα" w:hAnsi="Verdana" w:cs="Times New Roman"/>
        <w:b/>
        <w:bCs/>
        <w:sz w:val="20"/>
        <w:szCs w:val="20"/>
        <w:lang w:val="en-US" w:eastAsia="bg-BG"/>
      </w:rPr>
      <w:t xml:space="preserve"> </w:t>
    </w:r>
    <w:r w:rsidR="000647DD">
      <w:rPr>
        <w:rFonts w:ascii="Verdana" w:eastAsia="Μοντέρνα" w:hAnsi="Verdana" w:cs="Times New Roman"/>
        <w:b/>
        <w:bCs/>
        <w:sz w:val="20"/>
        <w:szCs w:val="20"/>
        <w:lang w:eastAsia="bg-BG"/>
      </w:rPr>
      <w:t>ПЪРВОТО</w:t>
    </w:r>
    <w:r w:rsidRPr="00F379D1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 ТРИМЕСЕЧИЕ НА </w:t>
    </w:r>
    <w:r w:rsidR="000647DD">
      <w:rPr>
        <w:rFonts w:ascii="Verdana" w:eastAsia="Μοντέρνα" w:hAnsi="Verdana" w:cs="Times New Roman"/>
        <w:b/>
        <w:bCs/>
        <w:sz w:val="20"/>
        <w:szCs w:val="20"/>
        <w:lang w:eastAsia="bg-BG"/>
      </w:rPr>
      <w:t>2025</w:t>
    </w:r>
    <w:r w:rsidRPr="00F379D1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F9E7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1600FFB" wp14:editId="1D51D62B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91FC1F" wp14:editId="66821C8F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9FAD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718EFC8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42B3B827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88E77FC" wp14:editId="7C9DD6CF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E46C25A" wp14:editId="0B9AD9FB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4EA91925" wp14:editId="48368BAA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5647B"/>
    <w:multiLevelType w:val="hybridMultilevel"/>
    <w:tmpl w:val="27C6280C"/>
    <w:lvl w:ilvl="0" w:tplc="0402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 w16cid:durableId="65853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28"/>
    <w:rsid w:val="00002041"/>
    <w:rsid w:val="00002B26"/>
    <w:rsid w:val="00012F10"/>
    <w:rsid w:val="000346E0"/>
    <w:rsid w:val="00042C56"/>
    <w:rsid w:val="000513C0"/>
    <w:rsid w:val="000647DD"/>
    <w:rsid w:val="000B7721"/>
    <w:rsid w:val="000E5AA2"/>
    <w:rsid w:val="000F7C56"/>
    <w:rsid w:val="00115DB2"/>
    <w:rsid w:val="00120E07"/>
    <w:rsid w:val="001269DB"/>
    <w:rsid w:val="001738B0"/>
    <w:rsid w:val="001807F6"/>
    <w:rsid w:val="00180C16"/>
    <w:rsid w:val="001F59C5"/>
    <w:rsid w:val="00205B72"/>
    <w:rsid w:val="00213D48"/>
    <w:rsid w:val="00215DBC"/>
    <w:rsid w:val="00266E6D"/>
    <w:rsid w:val="002A490A"/>
    <w:rsid w:val="002A7288"/>
    <w:rsid w:val="002C1C87"/>
    <w:rsid w:val="002D2874"/>
    <w:rsid w:val="002F48D7"/>
    <w:rsid w:val="00300F92"/>
    <w:rsid w:val="00306D59"/>
    <w:rsid w:val="00320F2B"/>
    <w:rsid w:val="00361A7F"/>
    <w:rsid w:val="00390672"/>
    <w:rsid w:val="003E75E1"/>
    <w:rsid w:val="004317D3"/>
    <w:rsid w:val="00454199"/>
    <w:rsid w:val="00467EC2"/>
    <w:rsid w:val="004C28A2"/>
    <w:rsid w:val="00502B33"/>
    <w:rsid w:val="005044B9"/>
    <w:rsid w:val="00532400"/>
    <w:rsid w:val="00560ECC"/>
    <w:rsid w:val="00564929"/>
    <w:rsid w:val="0058471F"/>
    <w:rsid w:val="005D6A8F"/>
    <w:rsid w:val="005F0575"/>
    <w:rsid w:val="006343B4"/>
    <w:rsid w:val="00643044"/>
    <w:rsid w:val="006830CD"/>
    <w:rsid w:val="006A4C8F"/>
    <w:rsid w:val="006D2FF3"/>
    <w:rsid w:val="006F3D91"/>
    <w:rsid w:val="006F612E"/>
    <w:rsid w:val="007714DA"/>
    <w:rsid w:val="00775569"/>
    <w:rsid w:val="00777100"/>
    <w:rsid w:val="007C1E48"/>
    <w:rsid w:val="007C5285"/>
    <w:rsid w:val="007C5E74"/>
    <w:rsid w:val="007C645A"/>
    <w:rsid w:val="008B67BF"/>
    <w:rsid w:val="008E6CB5"/>
    <w:rsid w:val="00923A19"/>
    <w:rsid w:val="009757F5"/>
    <w:rsid w:val="009D4592"/>
    <w:rsid w:val="00AC1CC7"/>
    <w:rsid w:val="00AE0BBC"/>
    <w:rsid w:val="00B44183"/>
    <w:rsid w:val="00BC434F"/>
    <w:rsid w:val="00BE01A2"/>
    <w:rsid w:val="00BE4DA9"/>
    <w:rsid w:val="00BF2607"/>
    <w:rsid w:val="00C178FC"/>
    <w:rsid w:val="00C458C8"/>
    <w:rsid w:val="00CA0F56"/>
    <w:rsid w:val="00CB32DF"/>
    <w:rsid w:val="00CC15A3"/>
    <w:rsid w:val="00D303C3"/>
    <w:rsid w:val="00D3200B"/>
    <w:rsid w:val="00D354CA"/>
    <w:rsid w:val="00D60CD2"/>
    <w:rsid w:val="00D83F28"/>
    <w:rsid w:val="00D867F3"/>
    <w:rsid w:val="00DC3567"/>
    <w:rsid w:val="00DF1544"/>
    <w:rsid w:val="00E35396"/>
    <w:rsid w:val="00E4390B"/>
    <w:rsid w:val="00E5219F"/>
    <w:rsid w:val="00E65F4A"/>
    <w:rsid w:val="00E8165F"/>
    <w:rsid w:val="00E8349F"/>
    <w:rsid w:val="00E935C0"/>
    <w:rsid w:val="00EA2B6C"/>
    <w:rsid w:val="00EC01D8"/>
    <w:rsid w:val="00EF4FC0"/>
    <w:rsid w:val="00F32BF7"/>
    <w:rsid w:val="00F76D42"/>
    <w:rsid w:val="00F80281"/>
    <w:rsid w:val="00F90C1D"/>
    <w:rsid w:val="00F936A1"/>
    <w:rsid w:val="00F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1DBB0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7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E5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A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i.bg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andraMyDocuments\HBS\Pressreleases\1%20&#1090;&#1088;&#1080;&#1084;.%202025\Press_I_trim_2025\graf_I_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lexandraMyDocuments\HBS\Pressreleases\1%20&#1090;&#1088;&#1080;&#1084;.%202025\Press_I_trim_2025\graf_I_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283738786383048E-2"/>
          <c:y val="9.9608927928693025E-2"/>
          <c:w val="0.93331170917068207"/>
          <c:h val="0.59871314236721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'2025'!$B$1</c:f>
              <c:strCache>
                <c:ptCount val="1"/>
                <c:pt idx="0">
                  <c:v> I тримесечие 2024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12700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 w="12700">
                <a:noFill/>
              </a:ln>
              <a:effectLst>
                <a:outerShdw blurRad="50800" dist="50800" dir="5400000" algn="ctr" rotWithShape="0">
                  <a:schemeClr val="tx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301-49CF-A0D7-6E7827A7DDE8}"/>
              </c:ext>
            </c:extLst>
          </c:dPt>
          <c:dLbls>
            <c:dLbl>
              <c:idx val="4"/>
              <c:layout>
                <c:manualLayout>
                  <c:x val="-1.9902064480745879E-3"/>
                  <c:y val="9.4747060726998165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01-49CF-A0D7-6E7827A7DDE8}"/>
                </c:ext>
              </c:extLst>
            </c:dLbl>
            <c:numFmt formatCode="#,##0.0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'2025'!$A$2:$A$7</c:f>
              <c:strCache>
                <c:ptCount val="6"/>
                <c:pt idx="0">
                  <c:v>Работна заплата</c:v>
                </c:pt>
                <c:pt idx="1">
                  <c:v>Пенсии</c:v>
                </c:pt>
                <c:pt idx="2">
                  <c:v>От самостоятелна заетост</c:v>
                </c:pt>
                <c:pt idx="3">
                  <c:v>Социални обезщетения и помощи</c:v>
                </c:pt>
                <c:pt idx="4">
                  <c:v>Други приходи</c:v>
                </c:pt>
                <c:pt idx="5">
                  <c:v>Извън работната заплата</c:v>
                </c:pt>
              </c:strCache>
            </c:strRef>
          </c:cat>
          <c:val>
            <c:numRef>
              <c:f>'2025'!$B$2:$B$7</c:f>
              <c:numCache>
                <c:formatCode>0.0</c:formatCode>
                <c:ptCount val="6"/>
                <c:pt idx="0">
                  <c:v>56.2</c:v>
                </c:pt>
                <c:pt idx="1">
                  <c:v>31.4</c:v>
                </c:pt>
                <c:pt idx="2">
                  <c:v>5.7</c:v>
                </c:pt>
                <c:pt idx="3">
                  <c:v>2</c:v>
                </c:pt>
                <c:pt idx="4">
                  <c:v>3.7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01-49CF-A0D7-6E7827A7DDE8}"/>
            </c:ext>
          </c:extLst>
        </c:ser>
        <c:ser>
          <c:idx val="1"/>
          <c:order val="1"/>
          <c:tx>
            <c:strRef>
              <c:f>'2025'!$C$1</c:f>
              <c:strCache>
                <c:ptCount val="1"/>
                <c:pt idx="0">
                  <c:v> I тримесечие 2025 г.</c:v>
                </c:pt>
              </c:strCache>
            </c:strRef>
          </c:tx>
          <c:spPr>
            <a:solidFill>
              <a:srgbClr val="00B050"/>
            </a:solidFill>
            <a:ln w="12700">
              <a:noFill/>
            </a:ln>
          </c:spPr>
          <c:invertIfNegative val="0"/>
          <c:dLbls>
            <c:dLbl>
              <c:idx val="0"/>
              <c:layout>
                <c:manualLayout>
                  <c:x val="0"/>
                  <c:y val="4.116106473144206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01-49CF-A0D7-6E7827A7DDE8}"/>
                </c:ext>
              </c:extLst>
            </c:dLbl>
            <c:dLbl>
              <c:idx val="4"/>
              <c:layout>
                <c:manualLayout>
                  <c:x val="1.990049751243781E-3"/>
                  <c:y val="1.137022255779671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01-49CF-A0D7-6E7827A7DDE8}"/>
                </c:ext>
              </c:extLst>
            </c:dLbl>
            <c:numFmt formatCode="#,##0.0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'2025'!$A$2:$A$7</c:f>
              <c:strCache>
                <c:ptCount val="6"/>
                <c:pt idx="0">
                  <c:v>Работна заплата</c:v>
                </c:pt>
                <c:pt idx="1">
                  <c:v>Пенсии</c:v>
                </c:pt>
                <c:pt idx="2">
                  <c:v>От самостоятелна заетост</c:v>
                </c:pt>
                <c:pt idx="3">
                  <c:v>Социални обезщетения и помощи</c:v>
                </c:pt>
                <c:pt idx="4">
                  <c:v>Други приходи</c:v>
                </c:pt>
                <c:pt idx="5">
                  <c:v>Извън работната заплата</c:v>
                </c:pt>
              </c:strCache>
            </c:strRef>
          </c:cat>
          <c:val>
            <c:numRef>
              <c:f>'2025'!$C$2:$C$7</c:f>
              <c:numCache>
                <c:formatCode>0.0</c:formatCode>
                <c:ptCount val="6"/>
                <c:pt idx="0">
                  <c:v>56.4</c:v>
                </c:pt>
                <c:pt idx="1">
                  <c:v>31.5</c:v>
                </c:pt>
                <c:pt idx="2">
                  <c:v>7</c:v>
                </c:pt>
                <c:pt idx="3">
                  <c:v>2.2999999999999998</c:v>
                </c:pt>
                <c:pt idx="4">
                  <c:v>2.1</c:v>
                </c:pt>
                <c:pt idx="5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01-49CF-A0D7-6E7827A7D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axId val="44733952"/>
        <c:axId val="44735488"/>
      </c:barChart>
      <c:catAx>
        <c:axId val="4473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44735488"/>
        <c:crosses val="autoZero"/>
        <c:auto val="1"/>
        <c:lblAlgn val="ctr"/>
        <c:lblOffset val="100"/>
        <c:noMultiLvlLbl val="0"/>
      </c:catAx>
      <c:valAx>
        <c:axId val="44735488"/>
        <c:scaling>
          <c:orientation val="minMax"/>
          <c:max val="70"/>
        </c:scaling>
        <c:delete val="0"/>
        <c:axPos val="l"/>
        <c:majorGridlines>
          <c:spPr>
            <a:ln w="3175">
              <a:solidFill>
                <a:schemeClr val="tx1"/>
              </a:solidFill>
            </a:ln>
          </c:spPr>
        </c:majorGridlines>
        <c:title>
          <c:tx>
            <c:rich>
              <a:bodyPr rot="0" vert="horz"/>
              <a:lstStyle/>
              <a:p>
                <a:pPr>
                  <a:defRPr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r>
                  <a:rPr lang="en-US" sz="800" b="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4.3781074010593196E-2"/>
              <c:y val="2.0286813146815817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/>
        </c:spPr>
        <c:txPr>
          <a:bodyPr/>
          <a:lstStyle/>
          <a:p>
            <a:pPr>
              <a:defRPr sz="800"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44733952"/>
        <c:crosses val="autoZero"/>
        <c:crossBetween val="between"/>
      </c:valAx>
      <c:spPr>
        <a:ln>
          <a:solidFill>
            <a:schemeClr val="tx1">
              <a:alpha val="52000"/>
            </a:schemeClr>
          </a:solidFill>
        </a:ln>
        <a:effectLst>
          <a:glow>
            <a:schemeClr val="accent1">
              <a:alpha val="40000"/>
            </a:schemeClr>
          </a:glow>
          <a:outerShdw blurRad="50800" dist="25400" dir="5400000" sx="1000" sy="1000" algn="ctr" rotWithShape="0">
            <a:srgbClr val="000000">
              <a:alpha val="57000"/>
            </a:srgbClr>
          </a:outerShdw>
        </a:effectLst>
      </c:spPr>
    </c:plotArea>
    <c:legend>
      <c:legendPos val="r"/>
      <c:layout>
        <c:manualLayout>
          <c:xMode val="edge"/>
          <c:yMode val="edge"/>
          <c:x val="0.11902910643632234"/>
          <c:y val="0.92508199572125904"/>
          <c:w val="0.77263759940455201"/>
          <c:h val="7.0672829994863892E-2"/>
        </c:manualLayout>
      </c:layout>
      <c:overlay val="0"/>
      <c:txPr>
        <a:bodyPr/>
        <a:lstStyle/>
        <a:p>
          <a:pPr>
            <a:defRPr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 w="3175">
      <a:solidFill>
        <a:schemeClr val="bg1"/>
      </a:solidFill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8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  <a:endParaRPr lang="en-GB" sz="80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</a:endParaRPr>
          </a:p>
        </c:rich>
      </c:tx>
      <c:layout>
        <c:manualLayout>
          <c:xMode val="edge"/>
          <c:yMode val="edge"/>
          <c:x val="0.93834745553887244"/>
          <c:y val="0.889721583224171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>
        <c:manualLayout>
          <c:layoutTarget val="inner"/>
          <c:xMode val="edge"/>
          <c:yMode val="edge"/>
          <c:x val="0.49676837270341206"/>
          <c:y val="1.326013152668379E-2"/>
          <c:w val="0.43041607664431425"/>
          <c:h val="0.888883664985875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'2025'!$B$61</c:f>
              <c:strCache>
                <c:ptCount val="1"/>
                <c:pt idx="0">
                  <c:v> I тримесечие 2025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8.4290214011718579E-17"/>
                  <c:y val="4.22670585854705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B1-459C-B5D3-DE253D311D42}"/>
                </c:ext>
              </c:extLst>
            </c:dLbl>
            <c:dLbl>
              <c:idx val="8"/>
              <c:layout>
                <c:manualLayout>
                  <c:x val="0"/>
                  <c:y val="6.3400587878206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B1-459C-B5D3-DE253D311D4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'2025'!$A$62:$A$70</c:f>
              <c:strCache>
                <c:ptCount val="9"/>
                <c:pt idx="0">
                  <c:v>Облекло и обувки</c:v>
                </c:pt>
                <c:pt idx="1">
                  <c:v>Алкохолни напитки и цигари</c:v>
                </c:pt>
                <c:pt idx="2">
                  <c:v>Свободно време, културен отдих и образование</c:v>
                </c:pt>
                <c:pt idx="3">
                  <c:v>Здравеопазване</c:v>
                </c:pt>
                <c:pt idx="4">
                  <c:v>Други разходи</c:v>
                </c:pt>
                <c:pt idx="5">
                  <c:v>Транспорт и съобщения</c:v>
                </c:pt>
                <c:pt idx="6">
                  <c:v>Данъци и социални осигуровки</c:v>
                </c:pt>
                <c:pt idx="7">
                  <c:v>За жилището</c:v>
                </c:pt>
                <c:pt idx="8">
                  <c:v>Храна и безалкохолни напитки</c:v>
                </c:pt>
              </c:strCache>
            </c:strRef>
          </c:cat>
          <c:val>
            <c:numRef>
              <c:f>'2025'!$B$62:$B$70</c:f>
              <c:numCache>
                <c:formatCode>0.0</c:formatCode>
                <c:ptCount val="9"/>
                <c:pt idx="0">
                  <c:v>3</c:v>
                </c:pt>
                <c:pt idx="1">
                  <c:v>4.0999999999999996</c:v>
                </c:pt>
                <c:pt idx="2">
                  <c:v>4.0999999999999996</c:v>
                </c:pt>
                <c:pt idx="3">
                  <c:v>6.4</c:v>
                </c:pt>
                <c:pt idx="4">
                  <c:v>8.6999999999999993</c:v>
                </c:pt>
                <c:pt idx="5">
                  <c:v>11.6</c:v>
                </c:pt>
                <c:pt idx="6">
                  <c:v>15.5</c:v>
                </c:pt>
                <c:pt idx="7">
                  <c:v>16.600000000000001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B1-459C-B5D3-DE253D311D42}"/>
            </c:ext>
          </c:extLst>
        </c:ser>
        <c:ser>
          <c:idx val="1"/>
          <c:order val="1"/>
          <c:tx>
            <c:strRef>
              <c:f>'2025'!$C$61</c:f>
              <c:strCache>
                <c:ptCount val="1"/>
                <c:pt idx="0">
                  <c:v>  I тримесечие 2024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8.4290214011718579E-17"/>
                  <c:y val="-4.22670585854728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B1-459C-B5D3-DE253D311D42}"/>
                </c:ext>
              </c:extLst>
            </c:dLbl>
            <c:dLbl>
              <c:idx val="2"/>
              <c:layout>
                <c:manualLayout>
                  <c:x val="0"/>
                  <c:y val="-4.22670585854713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FB1-459C-B5D3-DE253D311D42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'2025'!$A$62:$A$70</c:f>
              <c:strCache>
                <c:ptCount val="9"/>
                <c:pt idx="0">
                  <c:v>Облекло и обувки</c:v>
                </c:pt>
                <c:pt idx="1">
                  <c:v>Алкохолни напитки и цигари</c:v>
                </c:pt>
                <c:pt idx="2">
                  <c:v>Свободно време, културен отдих и образование</c:v>
                </c:pt>
                <c:pt idx="3">
                  <c:v>Здравеопазване</c:v>
                </c:pt>
                <c:pt idx="4">
                  <c:v>Други разходи</c:v>
                </c:pt>
                <c:pt idx="5">
                  <c:v>Транспорт и съобщения</c:v>
                </c:pt>
                <c:pt idx="6">
                  <c:v>Данъци и социални осигуровки</c:v>
                </c:pt>
                <c:pt idx="7">
                  <c:v>За жилището</c:v>
                </c:pt>
                <c:pt idx="8">
                  <c:v>Храна и безалкохолни напитки</c:v>
                </c:pt>
              </c:strCache>
            </c:strRef>
          </c:cat>
          <c:val>
            <c:numRef>
              <c:f>'2025'!$C$62:$C$70</c:f>
              <c:numCache>
                <c:formatCode>0.0</c:formatCode>
                <c:ptCount val="9"/>
                <c:pt idx="0">
                  <c:v>3.3</c:v>
                </c:pt>
                <c:pt idx="1">
                  <c:v>4</c:v>
                </c:pt>
                <c:pt idx="2">
                  <c:v>4</c:v>
                </c:pt>
                <c:pt idx="3">
                  <c:v>6.7</c:v>
                </c:pt>
                <c:pt idx="4">
                  <c:v>9</c:v>
                </c:pt>
                <c:pt idx="5">
                  <c:v>11.2</c:v>
                </c:pt>
                <c:pt idx="6">
                  <c:v>14.9</c:v>
                </c:pt>
                <c:pt idx="7">
                  <c:v>17.100000000000001</c:v>
                </c:pt>
                <c:pt idx="8">
                  <c:v>29.8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FB1-459C-B5D3-DE253D311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24202656"/>
        <c:axId val="1524215552"/>
      </c:barChart>
      <c:catAx>
        <c:axId val="1524202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524215552"/>
        <c:crosses val="autoZero"/>
        <c:auto val="1"/>
        <c:lblAlgn val="ctr"/>
        <c:lblOffset val="100"/>
        <c:noMultiLvlLbl val="0"/>
      </c:catAx>
      <c:valAx>
        <c:axId val="1524215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524202656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F1FE-F3C5-451F-906D-5BCF97B5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Аракси Манолева</cp:lastModifiedBy>
  <cp:revision>2</cp:revision>
  <dcterms:created xsi:type="dcterms:W3CDTF">2025-05-16T08:14:00Z</dcterms:created>
  <dcterms:modified xsi:type="dcterms:W3CDTF">2025-05-16T08:14:00Z</dcterms:modified>
</cp:coreProperties>
</file>