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94" w:rsidRPr="002D57C4" w:rsidRDefault="00F74A94" w:rsidP="006858F7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bookmarkStart w:id="0" w:name="_GoBack"/>
      <w:bookmarkEnd w:id="0"/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ИЗДАДЕНИ РАЗРЕШИТЕЛНИ ЗА СТРОЕЖ И ЗАПОЧНАТО СТРОИТЕЛСТВО НА НОВИ СГРАДИ ПРЕЗ </w:t>
      </w:r>
      <w:r w:rsidR="004D705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ПЪРВОТО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ТРИМЕСЕЧИЕ НА </w:t>
      </w:r>
      <w:r w:rsidR="004D7053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2025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През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D7053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първото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D7053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местните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администрации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издали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разрешителни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за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строеж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084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576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тях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</w:t>
      </w:r>
      <w:r w:rsidR="00F4154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1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302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121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),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административни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/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офиси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724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както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080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други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A903A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E3B24">
        <w:rPr>
          <w:rFonts w:ascii="Verdana" w:eastAsia="Μοντέρνα" w:hAnsi="Verdana" w:cs="Times New Roman"/>
          <w:bCs/>
          <w:sz w:val="20"/>
          <w:szCs w:val="20"/>
          <w:lang w:eastAsia="bg-BG"/>
        </w:rPr>
        <w:t>722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предходното тримесечие издадените разрешителни за строеж на жилищни сгради </w:t>
      </w:r>
      <w:r w:rsidR="00CB4F1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</w:t>
      </w:r>
      <w:r w:rsidR="00CB357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увеличават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CB357D"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 w:rsidR="00CB357D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="00CB357D"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="00CB357D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="00CB357D"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B357D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="00CB357D"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="00CB357D"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="00CB357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както и </w:t>
      </w:r>
      <w:r w:rsidR="00CD6CEF" w:rsidRP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разгънатата им застроена площ - с 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="00CD6CEF" w:rsidRP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CD6CEF" w:rsidRPr="00CD6CEF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При издадените разрешителни за строеж на административни сгради се наблюдава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спад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както 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при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броя им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-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20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така и при разгънатата им застроена площ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89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.3%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Издадените разрешителни за строеж на други сгради </w:t>
      </w:r>
      <w:r w:rsidR="00E9090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са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="00E9090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по-малко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E90908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разгънатата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им з</w:t>
      </w:r>
      <w:r w:rsidR="000B5DF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астроена площ </w:t>
      </w:r>
      <w:r w:rsidR="007228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F5FA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на нови сгради по видове и </w:t>
      </w:r>
      <w:r w:rsidR="006D315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:rsidR="00FD731D" w:rsidRDefault="003230FF" w:rsidP="00A14E81">
      <w:pPr>
        <w:tabs>
          <w:tab w:val="left" w:pos="3123"/>
        </w:tabs>
        <w:spacing w:line="360" w:lineRule="auto"/>
        <w:ind w:left="-142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rFonts w:ascii="Verdana" w:hAnsi="Verdana"/>
          <w:noProof/>
          <w:sz w:val="16"/>
          <w:szCs w:val="16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pt;height:342.25pt">
            <v:imagedata r:id="rId11" o:title=""/>
          </v:shape>
        </w:pict>
      </w:r>
      <w:r w:rsidR="00A14E8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</w:p>
    <w:p w:rsidR="00366F99" w:rsidRPr="002D57C4" w:rsidRDefault="00366F99" w:rsidP="003230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В сравнение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издадените разрешителни за строеж на нови жилищни сгради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увеличават</w:t>
      </w:r>
      <w:r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14</w:t>
      </w:r>
      <w:r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4A575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жилищата в тях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с 0.8%,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624D6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както 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та им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По-малко са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издадените разрешителни за строеж на административни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Pr="00CD009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други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видове сгради</w:t>
      </w:r>
      <w:r w:rsidRPr="00334EC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,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съответно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55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  <w:r w:rsidRPr="00334EC5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Същевременно РЗП на административните сгради намалява 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93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докато на други сгради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е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14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повече</w:t>
      </w:r>
      <w:r w:rsidRPr="00334EC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6D315F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2.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-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застроена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видове сгради и </w:t>
      </w:r>
      <w:r w:rsidR="006D315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:rsidR="00F74A94" w:rsidRPr="002D57C4" w:rsidRDefault="003230FF" w:rsidP="00E57FF6">
      <w:pPr>
        <w:tabs>
          <w:tab w:val="left" w:pos="3123"/>
        </w:tabs>
        <w:spacing w:line="360" w:lineRule="auto"/>
        <w:ind w:left="-426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>
          <v:shape id="_x0000_i1026" type="#_x0000_t75" style="width:478.75pt;height:306.7pt">
            <v:imagedata r:id="rId12" o:title=""/>
          </v:shape>
        </w:pict>
      </w:r>
    </w:p>
    <w:p w:rsidR="00F74A94" w:rsidRPr="002D57C4" w:rsidRDefault="00F74A94" w:rsidP="003230FF">
      <w:pPr>
        <w:tabs>
          <w:tab w:val="left" w:pos="3123"/>
        </w:tabs>
        <w:spacing w:before="24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Най-голям брой разрешителни за строеж на нови жилищни сгради са издадени в областите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Пловдив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E82A6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,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София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столица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) - </w:t>
      </w:r>
      <w:r w:rsidR="00E82A6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349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E82A62" w:rsidRPr="00E82A6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София</w:t>
      </w:r>
      <w:r w:rsidR="00C150CC" w:rsidRPr="00C150C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E82A6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228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E82A62" w:rsidRPr="00E82A6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Варна</w:t>
      </w:r>
      <w:r w:rsidR="00E82A62" w:rsidRPr="00E82A6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E82A6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199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и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="00E82A62" w:rsidRPr="00E82A6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Бургас</w:t>
      </w:r>
      <w:r w:rsidR="0074367F"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E82A6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Най-много жилища предстои да бъдат започнати в областите 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София</w:t>
      </w:r>
      <w:r w:rsidR="00C150CC" w:rsidRPr="00C150C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столица</w:t>
      </w:r>
      <w:r w:rsidR="00C150CC" w:rsidRPr="00C150CC">
        <w:rPr>
          <w:rFonts w:ascii="Verdana" w:eastAsia="Μοντέρνα" w:hAnsi="Verdana" w:cs="Times New Roman"/>
          <w:bCs/>
          <w:sz w:val="20"/>
          <w:szCs w:val="20"/>
          <w:lang w:eastAsia="bg-BG"/>
        </w:rPr>
        <w:t>)</w:t>
      </w:r>
      <w:r w:rsidR="0074367F"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4541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454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089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Пловдив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454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476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Бургас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1 </w:t>
      </w:r>
      <w:r w:rsidR="00E82A6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E454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36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="00C150CC" w:rsidRPr="00C150CC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Варна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184A1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1 </w:t>
      </w:r>
      <w:r w:rsidR="00E454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054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 </w:t>
      </w:r>
      <w:r w:rsidR="00E82A6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Благоевград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="00E45415">
        <w:rPr>
          <w:rFonts w:ascii="Verdana" w:eastAsia="Μοντέρνα" w:hAnsi="Verdana" w:cs="Times New Roman"/>
          <w:bCs/>
          <w:sz w:val="20"/>
          <w:szCs w:val="20"/>
          <w:lang w:eastAsia="bg-BG"/>
        </w:rPr>
        <w:t>486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</w:t>
      </w:r>
      <w:r w:rsidR="0074367F"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F74A94" w:rsidRPr="002D57C4" w:rsidRDefault="00F74A94" w:rsidP="00222CF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br w:type="page"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През </w:t>
      </w:r>
      <w:r w:rsidR="004D705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</w:t>
      </w:r>
      <w:r w:rsidR="004D7053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започнал строежът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431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 сгради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74F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090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жилища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 тях и с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738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C18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12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разгъната застроена площ, на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12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административни сгради/офиси с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051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РЗП и на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576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 </w:t>
      </w:r>
      <w:r w:rsidR="00934783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574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74F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691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РЗП.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предходното тримесечие започнатите жилищни сгради </w:t>
      </w:r>
      <w:r w:rsidR="00D724A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са по-малко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="00367C7E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367C7E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67C7E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</w:t>
      </w:r>
      <w:r w:rsidR="00367C7E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 w:rsidR="00367C7E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A3149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367C7E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50C8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както и разгънатата им застроена площ - с </w:t>
      </w:r>
      <w:r w:rsidR="00367C7E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550C82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67C7E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При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започнатите административни сгради 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тяхната застроена площ е регистриран </w:t>
      </w:r>
      <w:r w:rsidR="004C3ADE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ръст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2373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съответно</w:t>
      </w:r>
      <w:r w:rsidR="006D315F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 w:rsidR="004C3ADE">
        <w:rPr>
          <w:rFonts w:ascii="Verdana" w:eastAsia="Μοντέρνα" w:hAnsi="Verdana" w:cs="Times New Roman"/>
          <w:bCs/>
          <w:sz w:val="20"/>
          <w:szCs w:val="20"/>
          <w:lang w:eastAsia="bg-BG"/>
        </w:rPr>
        <w:t>50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C3ADE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 w:rsidR="004C3ADE">
        <w:rPr>
          <w:rFonts w:ascii="Verdana" w:eastAsia="Μοντέρνα" w:hAnsi="Verdana" w:cs="Times New Roman"/>
          <w:bCs/>
          <w:sz w:val="20"/>
          <w:szCs w:val="20"/>
          <w:lang w:eastAsia="bg-BG"/>
        </w:rPr>
        <w:t>15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C3ADE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Започнал е строежът на </w:t>
      </w:r>
      <w:r w:rsidR="004C3ADE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C3ADE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4C3ADE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по-малко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видове сгради</w:t>
      </w:r>
      <w:r w:rsidR="00AB10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но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с </w:t>
      </w:r>
      <w:r w:rsidR="004C3ADE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53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AB10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%</w:t>
      </w:r>
      <w:r w:rsidR="00AB10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 по-</w:t>
      </w:r>
      <w:r w:rsidR="004C3ADE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голяма</w:t>
      </w:r>
      <w:r w:rsidR="00AB10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 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по видове и </w:t>
      </w:r>
      <w:r w:rsidR="006D315F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:rsidR="00F74A94" w:rsidRPr="002D57C4" w:rsidRDefault="003230FF" w:rsidP="00622989">
      <w:pPr>
        <w:tabs>
          <w:tab w:val="left" w:pos="3123"/>
        </w:tabs>
        <w:spacing w:line="360" w:lineRule="auto"/>
        <w:ind w:left="-142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>
          <v:shape id="_x0000_i1027" type="#_x0000_t75" style="width:466.6pt;height:336.6pt">
            <v:imagedata r:id="rId13" o:title=""/>
          </v:shape>
        </w:pict>
      </w:r>
    </w:p>
    <w:p w:rsidR="00B66222" w:rsidRPr="00B66222" w:rsidRDefault="00F74A94" w:rsidP="003230FF">
      <w:pPr>
        <w:tabs>
          <w:tab w:val="left" w:pos="3123"/>
        </w:tabs>
        <w:spacing w:before="24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сравнение с </w:t>
      </w:r>
      <w:r w:rsidR="004D705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</w:t>
      </w:r>
      <w:r w:rsidR="003976F2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започнатите нови жилищни сгради 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с </w:t>
      </w:r>
      <w:r w:rsidR="00D263C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263C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="00D263C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но </w:t>
      </w:r>
      <w:r w:rsidR="00833B78" w:rsidRP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 w:rsidR="00D263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намаляват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D263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33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263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както и </w:t>
      </w:r>
      <w:r w:rsidR="00833B78" w:rsidRP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разгънатата им застроена площ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833B78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D263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22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263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="00AE0739" w:rsidRPr="00AE0739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t xml:space="preserve">%.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Броят на започнатите административни сгради </w:t>
      </w:r>
      <w:r w:rsidR="00A05ED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нараства със 100.0%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A05ED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тяхната РЗП </w:t>
      </w:r>
      <w:r w:rsidR="00A05ED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</w:t>
      </w:r>
      <w:r w:rsidR="00A05ED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137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="00A05EDB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A05EDB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Започнал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строежът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A6058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A6058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</w:t>
      </w:r>
      <w:r w:rsidR="00EA6058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други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видове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="00EA605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B66222" w:rsidRPr="00B66222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A6058">
        <w:rPr>
          <w:rFonts w:ascii="Verdana" w:eastAsia="Μοντέρνα" w:hAnsi="Verdana" w:cs="Times New Roman"/>
          <w:bCs/>
          <w:sz w:val="20"/>
          <w:szCs w:val="20"/>
          <w:lang w:eastAsia="bg-BG"/>
        </w:rPr>
        <w:t>46</w:t>
      </w:r>
      <w:r w:rsidR="004A2835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C9139A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="00EA605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по-голяма РЗП</w:t>
      </w:r>
      <w:r w:rsidR="00B66222" w:rsidRPr="00B6622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lastRenderedPageBreak/>
        <w:t xml:space="preserve">Фиг. 4.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-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разгъната застроена площ по видове сгради и </w:t>
      </w:r>
      <w:r w:rsidR="004C0AC3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</w:t>
      </w:r>
    </w:p>
    <w:p w:rsidR="00F74A94" w:rsidRPr="002D57C4" w:rsidRDefault="003230FF" w:rsidP="00622989">
      <w:pPr>
        <w:tabs>
          <w:tab w:val="left" w:pos="3123"/>
        </w:tabs>
        <w:spacing w:line="360" w:lineRule="auto"/>
        <w:ind w:left="284" w:hanging="568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pict>
          <v:shape id="_x0000_i1028" type="#_x0000_t75" style="width:468.45pt;height:319.8pt">
            <v:imagedata r:id="rId14" o:title=""/>
          </v:shape>
        </w:pict>
      </w:r>
    </w:p>
    <w:p w:rsidR="00F74A94" w:rsidRPr="002D57C4" w:rsidRDefault="00F74A94" w:rsidP="003230FF">
      <w:pPr>
        <w:tabs>
          <w:tab w:val="left" w:pos="3123"/>
        </w:tabs>
        <w:spacing w:before="24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Строителство на най-голям брой нови сгради е започнало в областите: </w:t>
      </w:r>
      <w:r w:rsidR="000F752C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Пловдив - 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="009A66F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</w:t>
      </w:r>
      <w:r w:rsidR="0006209F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="009A66F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 </w:t>
      </w:r>
      <w:r w:rsidR="009947F8" w:rsidRPr="009947F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София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="009A66F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158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</w:t>
      </w:r>
      <w:r w:rsidR="009A66F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3 административни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="009A66F1">
        <w:rPr>
          <w:rFonts w:ascii="Verdana" w:eastAsia="Μοντέρνα" w:hAnsi="Verdana" w:cs="Times New Roman"/>
          <w:bCs/>
          <w:sz w:val="20"/>
          <w:szCs w:val="20"/>
          <w:lang w:eastAsia="bg-BG"/>
        </w:rPr>
        <w:t>77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 </w:t>
      </w:r>
      <w:r w:rsidR="00EB1621" w:rsidRP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София (столица)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="009A66F1">
        <w:rPr>
          <w:rFonts w:ascii="Verdana" w:eastAsia="Μοντέρνα" w:hAnsi="Verdana" w:cs="Times New Roman"/>
          <w:bCs/>
          <w:sz w:val="20"/>
          <w:szCs w:val="20"/>
          <w:lang w:eastAsia="bg-BG"/>
        </w:rPr>
        <w:t>195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 и </w:t>
      </w:r>
      <w:r w:rsidR="00EB16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9A66F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2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други сгради</w:t>
      </w:r>
      <w:r w:rsidR="009E49B3" w:rsidRPr="009E49B3">
        <w:rPr>
          <w:rFonts w:ascii="Verdana" w:eastAsia="Μοντέρνα" w:hAnsi="Verdana" w:cs="Times New Roman"/>
          <w:bCs/>
          <w:sz w:val="20"/>
          <w:szCs w:val="20"/>
          <w:lang w:eastAsia="bg-BG"/>
        </w:rPr>
        <w:t>;</w:t>
      </w:r>
      <w:r w:rsidR="009E49B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Бургас </w:t>
      </w:r>
      <w:r w:rsidR="00D95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="009E49B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126</w:t>
      </w:r>
      <w:r w:rsidR="00D959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 w:rsidR="009E49B3" w:rsidRPr="009E49B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жилищни</w:t>
      </w:r>
      <w:r w:rsidR="009E49B3" w:rsidRPr="009E49B3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9E49B3" w:rsidRPr="009E49B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="009E49B3">
        <w:rPr>
          <w:rFonts w:ascii="Verdana" w:eastAsia="Μοντέρνα" w:hAnsi="Verdana" w:cs="Times New Roman"/>
          <w:bCs/>
          <w:sz w:val="20"/>
          <w:szCs w:val="20"/>
          <w:lang w:eastAsia="bg-BG"/>
        </w:rPr>
        <w:t>39</w:t>
      </w:r>
      <w:r w:rsidR="009E49B3" w:rsidRPr="009E49B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</w:t>
      </w:r>
      <w:r w:rsidR="009E49B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Тримесечното статистическо наблюдение за издадените разрешителни за строеж и започнатото строителство осигурява информация както за издадените от местните администрации разрешителни за строеж, така и за започнатото строителство на нови сгради според техния вид и разгъната застроена площ. Тази информация може да се използва като индикатор за бъдещата активност на строителните предприятия в страната.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Видовете сгради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t>e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посочват в съответствие с Класификацията на сградите и строителните съоръжения (КС</w:t>
      </w: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t>C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- 2001) и се подразделят на: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• Жилищни - сгради, полезната площ на които в голямата си част е предназначена за жилищни цели за постоянно обитаване.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• Нежилищни</w:t>
      </w:r>
      <w:r w:rsidRPr="002D57C4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- сгради за различни нежилищни нужди, които включват: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3230FF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други).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 застроена площ на сградите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сумата от застроените площи на всички етажи по външни измерения.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:rsidR="00F74A94" w:rsidRPr="002D57C4" w:rsidRDefault="00F74A94" w:rsidP="00F74A94">
      <w:pPr>
        <w:tabs>
          <w:tab w:val="left" w:pos="3123"/>
        </w:tabs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:rsidR="00F74A94" w:rsidRPr="002D57C4" w:rsidRDefault="00F74A94" w:rsidP="00F74A94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Таблица 1 </w:t>
      </w:r>
    </w:p>
    <w:p w:rsidR="00F74A94" w:rsidRPr="00E7697E" w:rsidRDefault="00F74A94" w:rsidP="003230FF">
      <w:pPr>
        <w:keepNext/>
        <w:keepLines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на нови сгради през </w:t>
      </w:r>
      <w:r w:rsidR="004D7053">
        <w:rPr>
          <w:rFonts w:ascii="Verdana" w:eastAsia="Μοντέρνα" w:hAnsi="Verdana" w:cs="Times New Roman"/>
          <w:b/>
          <w:sz w:val="20"/>
          <w:szCs w:val="20"/>
          <w:lang w:eastAsia="bg-BG"/>
        </w:rPr>
        <w:t>първото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</w:t>
      </w:r>
      <w:r w:rsidR="004D7053"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tbl>
      <w:tblPr>
        <w:tblW w:w="90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659"/>
        <w:gridCol w:w="1028"/>
        <w:gridCol w:w="1431"/>
        <w:gridCol w:w="651"/>
        <w:gridCol w:w="1360"/>
        <w:gridCol w:w="659"/>
        <w:gridCol w:w="1358"/>
      </w:tblGrid>
      <w:tr w:rsidR="00F74A94" w:rsidRPr="00145580" w:rsidTr="001B451A">
        <w:trPr>
          <w:trHeight w:val="44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Жилищни сгради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Административни сгради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сгради</w:t>
            </w:r>
          </w:p>
        </w:tc>
      </w:tr>
      <w:tr w:rsidR="00F74A94" w:rsidRPr="00145580" w:rsidTr="001B451A">
        <w:trPr>
          <w:trHeight w:val="99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брой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брой жилища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</w:t>
            </w:r>
          </w:p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площ - кв. м</w:t>
            </w:r>
          </w:p>
        </w:tc>
      </w:tr>
      <w:tr w:rsidR="00711BD8" w:rsidRPr="006E2F9B" w:rsidTr="001B451A">
        <w:trPr>
          <w:trHeight w:val="394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 за страната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BD8" w:rsidRDefault="00711BD8" w:rsidP="00711BD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2084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BD8" w:rsidRDefault="00711BD8" w:rsidP="00711BD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10576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BD8" w:rsidRDefault="00711BD8" w:rsidP="00711BD8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1302121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BD8" w:rsidRDefault="00711BD8" w:rsidP="00711BD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BD8" w:rsidRDefault="00711BD8" w:rsidP="00711BD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3724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BD8" w:rsidRDefault="00711BD8" w:rsidP="00711BD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BD8" w:rsidRDefault="00711BD8" w:rsidP="00711BD8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612722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Благоевград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57323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20836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Бургас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1236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129025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53805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Варна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144941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2034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96241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Велико Търново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25827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Видин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1968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Враца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14943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9056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Габрово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6990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Добрич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9282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Кърджали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11193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1157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Кюстендил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3692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2862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Ловеч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9092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4640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Монтана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1981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4941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Пазарджик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26891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26060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Перник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19851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25809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Плевен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11403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31931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Пловдив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2476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342647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76267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Разград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3020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Русе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20898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38128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Силистра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4157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Сливен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4456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Смолян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5362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София 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41462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72212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София (столица)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3089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327551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16862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Стара Загора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41314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41276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Търговище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4157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3715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Хасково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23891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7203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Шумен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13577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10691</w:t>
            </w:r>
          </w:p>
        </w:tc>
      </w:tr>
      <w:tr w:rsidR="00711BD8" w:rsidRPr="006E2F9B" w:rsidTr="001B451A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BD8" w:rsidRPr="005B4E8E" w:rsidRDefault="00711BD8" w:rsidP="00711BD8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Ямбол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11062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1BD8" w:rsidRDefault="00711BD8" w:rsidP="00711BD8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7968</w:t>
            </w:r>
          </w:p>
        </w:tc>
      </w:tr>
    </w:tbl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142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__________________</w:t>
      </w:r>
    </w:p>
    <w:p w:rsidR="00F74A94" w:rsidRPr="00705130" w:rsidRDefault="00F74A94" w:rsidP="00E96923">
      <w:pPr>
        <w:tabs>
          <w:tab w:val="left" w:pos="3123"/>
        </w:tabs>
        <w:spacing w:line="360" w:lineRule="auto"/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>„..“ - конфиденциални данни.</w:t>
      </w:r>
    </w:p>
    <w:p w:rsidR="00F74A94" w:rsidRPr="00705130" w:rsidRDefault="00F74A94" w:rsidP="00F74A94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„-“ - няма случай.</w:t>
      </w:r>
    </w:p>
    <w:p w:rsidR="00F74A94" w:rsidRDefault="00F74A94" w:rsidP="00F74A94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74A94" w:rsidRDefault="00F74A94" w:rsidP="00F74A94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74A94" w:rsidRPr="002D57C4" w:rsidRDefault="00F74A94" w:rsidP="00F74A94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F74A94" w:rsidRPr="00E7697E" w:rsidRDefault="00F74A94" w:rsidP="003230FF">
      <w:pPr>
        <w:keepNext/>
        <w:keepLines/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през </w:t>
      </w:r>
      <w:r w:rsidR="004D7053">
        <w:rPr>
          <w:rFonts w:ascii="Verdana" w:eastAsia="Μοντέρνα" w:hAnsi="Verdana" w:cs="Times New Roman"/>
          <w:b/>
          <w:sz w:val="20"/>
          <w:szCs w:val="20"/>
          <w:lang w:eastAsia="bg-BG"/>
        </w:rPr>
        <w:t>първото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</w:t>
      </w:r>
      <w:r w:rsidR="00F15356">
        <w:rPr>
          <w:rFonts w:ascii="Verdana" w:eastAsia="Μοντέρνα" w:hAnsi="Verdana" w:cs="Times New Roman"/>
          <w:b/>
          <w:sz w:val="20"/>
          <w:szCs w:val="20"/>
          <w:lang w:eastAsia="bg-BG"/>
        </w:rPr>
        <w:t> </w:t>
      </w:r>
      <w:r w:rsidR="004D7053">
        <w:rPr>
          <w:rFonts w:ascii="Verdana" w:eastAsia="Μοντέρνα" w:hAnsi="Verdana" w:cs="Times New Roman"/>
          <w:b/>
          <w:sz w:val="20"/>
          <w:szCs w:val="20"/>
          <w:lang w:eastAsia="bg-BG"/>
        </w:rPr>
        <w:t>2025</w:t>
      </w:r>
      <w:r w:rsidR="00F15356">
        <w:rPr>
          <w:rFonts w:ascii="Verdana" w:eastAsia="Μοντέρνα" w:hAnsi="Verdana" w:cs="Times New Roman"/>
          <w:b/>
          <w:sz w:val="20"/>
          <w:szCs w:val="20"/>
          <w:lang w:eastAsia="bg-BG"/>
        </w:rPr>
        <w:t> 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година</w:t>
      </w:r>
    </w:p>
    <w:tbl>
      <w:tblPr>
        <w:tblW w:w="895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643"/>
        <w:gridCol w:w="1003"/>
        <w:gridCol w:w="1391"/>
        <w:gridCol w:w="635"/>
        <w:gridCol w:w="1349"/>
        <w:gridCol w:w="635"/>
        <w:gridCol w:w="1315"/>
      </w:tblGrid>
      <w:tr w:rsidR="00F74A94" w:rsidRPr="00816C8D" w:rsidTr="001B451A">
        <w:trPr>
          <w:trHeight w:val="4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Жилищни сгради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Административни сгради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сгради</w:t>
            </w:r>
          </w:p>
        </w:tc>
      </w:tr>
      <w:tr w:rsidR="00F74A94" w:rsidRPr="00816C8D" w:rsidTr="001B451A">
        <w:trPr>
          <w:trHeight w:val="105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 жилища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разгъната застроена </w:t>
            </w:r>
          </w:p>
          <w:p w:rsidR="00F74A94" w:rsidRPr="00E7697E" w:rsidRDefault="00F74A94" w:rsidP="001B451A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площ - кв. м</w:t>
            </w:r>
          </w:p>
        </w:tc>
      </w:tr>
      <w:tr w:rsidR="00C95549" w:rsidRPr="00816C8D" w:rsidTr="001B451A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 за страната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6090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738912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7051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574691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Благоевград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51063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30080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Бургас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974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95095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78878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Варна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71780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46842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Велико Търново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12082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Видин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2851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Враца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3116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Габрово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7203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Добрич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8889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12882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Кърджали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11862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27597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Кюстендил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890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Ловеч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5782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Монтана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13773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Пазарджик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19983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10877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Перник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15765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19916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Плевен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7913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Пловдив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1234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154557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40705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Разград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1940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Русе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11902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11619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Силистра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2945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Сливен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16479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12497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Смолян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1421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София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33563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146145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София (столица)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143877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25542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Стара Загора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20183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Търговище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1113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Хасково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14817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10525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Шумен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9039</w:t>
            </w:r>
          </w:p>
        </w:tc>
      </w:tr>
      <w:tr w:rsidR="00C95549" w:rsidRPr="00816C8D" w:rsidTr="001D1746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549" w:rsidRPr="005B4E8E" w:rsidRDefault="00C95549" w:rsidP="00C95549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Ямбол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549" w:rsidRDefault="00C95549" w:rsidP="00C9554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10335</w:t>
            </w:r>
          </w:p>
        </w:tc>
      </w:tr>
    </w:tbl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142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__________________</w:t>
      </w:r>
    </w:p>
    <w:p w:rsidR="00E96923" w:rsidRPr="00705130" w:rsidRDefault="00E96923" w:rsidP="00E96923">
      <w:pPr>
        <w:tabs>
          <w:tab w:val="left" w:pos="3123"/>
        </w:tabs>
        <w:spacing w:line="360" w:lineRule="auto"/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>„..“ - конфиденциални данни.</w:t>
      </w:r>
    </w:p>
    <w:p w:rsidR="00E96923" w:rsidRPr="00705130" w:rsidRDefault="00E96923" w:rsidP="00E96923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„-“ - няма случай.</w:t>
      </w:r>
    </w:p>
    <w:sectPr w:rsidR="00E96923" w:rsidRPr="00705130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8B" w:rsidRDefault="0039208B" w:rsidP="00214ACA">
      <w:r>
        <w:separator/>
      </w:r>
    </w:p>
  </w:endnote>
  <w:endnote w:type="continuationSeparator" w:id="0">
    <w:p w:rsidR="0039208B" w:rsidRDefault="0039208B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00" w:rsidRPr="00A7142A" w:rsidRDefault="00117100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100" w:rsidRPr="00DD11CB" w:rsidRDefault="00117100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30F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117100" w:rsidRPr="00DD11CB" w:rsidRDefault="00117100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230F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00" w:rsidRDefault="00117100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100" w:rsidRPr="00DD11CB" w:rsidRDefault="0011710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30F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117100" w:rsidRPr="00DD11CB" w:rsidRDefault="0011710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230F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00" w:rsidRPr="00171C36" w:rsidRDefault="00117100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100" w:rsidRPr="00DD11CB" w:rsidRDefault="0011710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30F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117100" w:rsidRPr="00DD11CB" w:rsidRDefault="0011710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230F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117100" w:rsidRDefault="00117100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8B" w:rsidRDefault="0039208B" w:rsidP="00214ACA">
      <w:r>
        <w:separator/>
      </w:r>
    </w:p>
  </w:footnote>
  <w:footnote w:type="continuationSeparator" w:id="0">
    <w:p w:rsidR="0039208B" w:rsidRDefault="0039208B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00" w:rsidRPr="00B77149" w:rsidRDefault="0011710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align>left</wp:align>
              </wp:positionH>
              <wp:positionV relativeFrom="paragraph">
                <wp:posOffset>-537845</wp:posOffset>
              </wp:positionV>
              <wp:extent cx="6105525" cy="4857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7100" w:rsidRPr="002D57C4" w:rsidRDefault="00117100" w:rsidP="00BB59D5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ИЗДАДЕНИ РАЗРЕШИТЕЛНИ ЗА СТРОЕЖ И ЗАПОЧНАТО СТРОИТЕЛСТВО НА НОВИ СГРАДИ 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ПЪРВОТО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2025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  <w:p w:rsidR="00117100" w:rsidRPr="00101DE0" w:rsidRDefault="0011710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2.35pt;width:480.75pt;height:38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" stroked="f">
              <v:textbox>
                <w:txbxContent>
                  <w:p w:rsidR="00117100" w:rsidRPr="002D57C4" w:rsidRDefault="00117100" w:rsidP="00BB59D5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Cs/>
                        <w:sz w:val="20"/>
                        <w:szCs w:val="20"/>
                        <w:lang w:eastAsia="bg-BG"/>
                      </w:rPr>
                    </w:pP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ИЗДАДЕНИ РАЗРЕШИТЕЛНИ ЗА СТРОЕЖ И ЗАПОЧНАТО СТРОИТЕЛСТВО НА НОВИ СГРАДИ ПРЕЗ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ПЪРВОТО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2025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  <w:p w:rsidR="00117100" w:rsidRPr="00101DE0" w:rsidRDefault="0011710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00" w:rsidRPr="009E4021" w:rsidRDefault="00117100" w:rsidP="009E4021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0224" behindDoc="0" locked="0" layoutInCell="1" allowOverlap="1" wp14:anchorId="6F341A27" wp14:editId="3CDC3D7C">
          <wp:simplePos x="0" y="0"/>
          <wp:positionH relativeFrom="margin">
            <wp:posOffset>4963836</wp:posOffset>
          </wp:positionH>
          <wp:positionV relativeFrom="topMargin">
            <wp:posOffset>747189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7100" w:rsidRDefault="00117100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117100" w:rsidRPr="00FD731D" w:rsidRDefault="00117100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117100" w:rsidRDefault="00117100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17100" w:rsidRPr="00FD731D" w:rsidRDefault="00117100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7100" w:rsidRPr="004F064E" w:rsidRDefault="0011710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00" w:rsidRPr="004F064E" w:rsidRDefault="0011710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align>right</wp:align>
              </wp:positionH>
              <wp:positionV relativeFrom="paragraph">
                <wp:posOffset>-537845</wp:posOffset>
              </wp:positionV>
              <wp:extent cx="5753100" cy="5429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7100" w:rsidRPr="002D57C4" w:rsidRDefault="00117100" w:rsidP="00F74A94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ИЗДАДЕНИ РАЗРЕШИТЕЛНИ ЗА СТРОЕЖ И ЗАПОЧНАТО СТРОИТЕЛСТВО НА НОВИ СГРАДИ 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ПЪРВОТО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2025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ГОДИНА</w:t>
                          </w:r>
                        </w:p>
                        <w:p w:rsidR="00117100" w:rsidRPr="00101DE0" w:rsidRDefault="00117100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1.8pt;margin-top:-42.35pt;width:453pt;height:42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0yIgIAACM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" stroked="f">
              <v:textbox>
                <w:txbxContent>
                  <w:p w:rsidR="001D1746" w:rsidRPr="002D57C4" w:rsidRDefault="001D1746" w:rsidP="00F74A94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Cs/>
                        <w:sz w:val="20"/>
                        <w:szCs w:val="20"/>
                        <w:lang w:eastAsia="bg-BG"/>
                      </w:rPr>
                    </w:pP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ИЗДАДЕНИ РАЗРЕШИТЕЛНИ ЗА СТРОЕЖ И ЗАПОЧНАТО СТРОИТЕЛСТВО НА НОВИ СГРАДИ ПРЕЗ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ПЪРВОТО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2025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ГОДИНА</w:t>
                    </w:r>
                  </w:p>
                  <w:p w:rsidR="001D1746" w:rsidRPr="00101DE0" w:rsidRDefault="001D1746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DC85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2853"/>
    <w:rsid w:val="000137C7"/>
    <w:rsid w:val="00017C41"/>
    <w:rsid w:val="0003280A"/>
    <w:rsid w:val="00054CFF"/>
    <w:rsid w:val="0006051E"/>
    <w:rsid w:val="000607BC"/>
    <w:rsid w:val="0006209F"/>
    <w:rsid w:val="00077C97"/>
    <w:rsid w:val="00087EDA"/>
    <w:rsid w:val="00097D80"/>
    <w:rsid w:val="000B17C2"/>
    <w:rsid w:val="000B2B10"/>
    <w:rsid w:val="000B5DF9"/>
    <w:rsid w:val="000C0D56"/>
    <w:rsid w:val="000C1613"/>
    <w:rsid w:val="000D2237"/>
    <w:rsid w:val="000F0B88"/>
    <w:rsid w:val="000F2D78"/>
    <w:rsid w:val="000F3B72"/>
    <w:rsid w:val="000F752C"/>
    <w:rsid w:val="00101DE0"/>
    <w:rsid w:val="00117100"/>
    <w:rsid w:val="001407F9"/>
    <w:rsid w:val="001666F5"/>
    <w:rsid w:val="00171C36"/>
    <w:rsid w:val="00174E96"/>
    <w:rsid w:val="00184A15"/>
    <w:rsid w:val="001901A0"/>
    <w:rsid w:val="00196392"/>
    <w:rsid w:val="001A0B9E"/>
    <w:rsid w:val="001B03D8"/>
    <w:rsid w:val="001B451A"/>
    <w:rsid w:val="001D1746"/>
    <w:rsid w:val="001E42A5"/>
    <w:rsid w:val="001E5BA2"/>
    <w:rsid w:val="001E7AC3"/>
    <w:rsid w:val="001F5382"/>
    <w:rsid w:val="001F6A98"/>
    <w:rsid w:val="00214ACA"/>
    <w:rsid w:val="00222CF3"/>
    <w:rsid w:val="002253D4"/>
    <w:rsid w:val="00252046"/>
    <w:rsid w:val="002554AC"/>
    <w:rsid w:val="00272F11"/>
    <w:rsid w:val="00273027"/>
    <w:rsid w:val="002B05DD"/>
    <w:rsid w:val="002C3666"/>
    <w:rsid w:val="002C72D4"/>
    <w:rsid w:val="002F2B73"/>
    <w:rsid w:val="002F4F3B"/>
    <w:rsid w:val="002F51BE"/>
    <w:rsid w:val="00306692"/>
    <w:rsid w:val="003230FF"/>
    <w:rsid w:val="00332C88"/>
    <w:rsid w:val="00334EC5"/>
    <w:rsid w:val="00336556"/>
    <w:rsid w:val="00364357"/>
    <w:rsid w:val="00364FBB"/>
    <w:rsid w:val="00366F99"/>
    <w:rsid w:val="00367C7E"/>
    <w:rsid w:val="003827FA"/>
    <w:rsid w:val="00384A71"/>
    <w:rsid w:val="0038746A"/>
    <w:rsid w:val="0039208B"/>
    <w:rsid w:val="003976F2"/>
    <w:rsid w:val="003A035F"/>
    <w:rsid w:val="003B1F62"/>
    <w:rsid w:val="003B2503"/>
    <w:rsid w:val="003B42F8"/>
    <w:rsid w:val="003B46BA"/>
    <w:rsid w:val="003C2111"/>
    <w:rsid w:val="003D5F6D"/>
    <w:rsid w:val="003D680D"/>
    <w:rsid w:val="003F50B0"/>
    <w:rsid w:val="003F5FA9"/>
    <w:rsid w:val="00407383"/>
    <w:rsid w:val="00437887"/>
    <w:rsid w:val="00446CF4"/>
    <w:rsid w:val="0044765B"/>
    <w:rsid w:val="00460964"/>
    <w:rsid w:val="004760D3"/>
    <w:rsid w:val="00486232"/>
    <w:rsid w:val="004A2835"/>
    <w:rsid w:val="004A5755"/>
    <w:rsid w:val="004B20B9"/>
    <w:rsid w:val="004B695F"/>
    <w:rsid w:val="004C0AC3"/>
    <w:rsid w:val="004C3ADE"/>
    <w:rsid w:val="004C76D2"/>
    <w:rsid w:val="004D6F04"/>
    <w:rsid w:val="004D7053"/>
    <w:rsid w:val="004E78A3"/>
    <w:rsid w:val="004F064E"/>
    <w:rsid w:val="00501DF4"/>
    <w:rsid w:val="005029EB"/>
    <w:rsid w:val="00507420"/>
    <w:rsid w:val="00520539"/>
    <w:rsid w:val="00524D2C"/>
    <w:rsid w:val="005436EC"/>
    <w:rsid w:val="00546D2A"/>
    <w:rsid w:val="00550C82"/>
    <w:rsid w:val="00556608"/>
    <w:rsid w:val="005B4023"/>
    <w:rsid w:val="005D1BAB"/>
    <w:rsid w:val="006014E9"/>
    <w:rsid w:val="006120F5"/>
    <w:rsid w:val="006209B4"/>
    <w:rsid w:val="00622989"/>
    <w:rsid w:val="00624D6A"/>
    <w:rsid w:val="00633BC0"/>
    <w:rsid w:val="00634437"/>
    <w:rsid w:val="00644D53"/>
    <w:rsid w:val="006461D9"/>
    <w:rsid w:val="00654814"/>
    <w:rsid w:val="00665853"/>
    <w:rsid w:val="006737B8"/>
    <w:rsid w:val="006858F7"/>
    <w:rsid w:val="006969D9"/>
    <w:rsid w:val="006A212D"/>
    <w:rsid w:val="006D1BE4"/>
    <w:rsid w:val="006D315F"/>
    <w:rsid w:val="006D4B09"/>
    <w:rsid w:val="00704539"/>
    <w:rsid w:val="00711BD8"/>
    <w:rsid w:val="00717F13"/>
    <w:rsid w:val="00721E88"/>
    <w:rsid w:val="0072282F"/>
    <w:rsid w:val="007376BB"/>
    <w:rsid w:val="00741009"/>
    <w:rsid w:val="0074367F"/>
    <w:rsid w:val="007452CC"/>
    <w:rsid w:val="00761B44"/>
    <w:rsid w:val="0076271E"/>
    <w:rsid w:val="00764226"/>
    <w:rsid w:val="00774F19"/>
    <w:rsid w:val="00780899"/>
    <w:rsid w:val="007A3632"/>
    <w:rsid w:val="007C2730"/>
    <w:rsid w:val="007C61E0"/>
    <w:rsid w:val="007C7A6A"/>
    <w:rsid w:val="007E3B24"/>
    <w:rsid w:val="007F116A"/>
    <w:rsid w:val="007F17B3"/>
    <w:rsid w:val="008127CB"/>
    <w:rsid w:val="00821652"/>
    <w:rsid w:val="00833B78"/>
    <w:rsid w:val="00844B8B"/>
    <w:rsid w:val="00852E20"/>
    <w:rsid w:val="00861CF4"/>
    <w:rsid w:val="00870559"/>
    <w:rsid w:val="008748F1"/>
    <w:rsid w:val="00881B14"/>
    <w:rsid w:val="00883238"/>
    <w:rsid w:val="008D3797"/>
    <w:rsid w:val="008E71E8"/>
    <w:rsid w:val="00911AF8"/>
    <w:rsid w:val="009231EA"/>
    <w:rsid w:val="00934783"/>
    <w:rsid w:val="0094060D"/>
    <w:rsid w:val="009432A3"/>
    <w:rsid w:val="00947EBF"/>
    <w:rsid w:val="00973E26"/>
    <w:rsid w:val="009947F8"/>
    <w:rsid w:val="00995952"/>
    <w:rsid w:val="009A66F1"/>
    <w:rsid w:val="009E0816"/>
    <w:rsid w:val="009E4021"/>
    <w:rsid w:val="009E49B3"/>
    <w:rsid w:val="009F515D"/>
    <w:rsid w:val="00A04822"/>
    <w:rsid w:val="00A05EDB"/>
    <w:rsid w:val="00A14E81"/>
    <w:rsid w:val="00A14E83"/>
    <w:rsid w:val="00A3149E"/>
    <w:rsid w:val="00A7142A"/>
    <w:rsid w:val="00A869E9"/>
    <w:rsid w:val="00A903A5"/>
    <w:rsid w:val="00A91632"/>
    <w:rsid w:val="00A97E8E"/>
    <w:rsid w:val="00AA7B17"/>
    <w:rsid w:val="00AB10C4"/>
    <w:rsid w:val="00AB4E41"/>
    <w:rsid w:val="00AC1D88"/>
    <w:rsid w:val="00AC3D78"/>
    <w:rsid w:val="00AD445A"/>
    <w:rsid w:val="00AE0739"/>
    <w:rsid w:val="00AE4196"/>
    <w:rsid w:val="00AE5344"/>
    <w:rsid w:val="00AF2D94"/>
    <w:rsid w:val="00AF7355"/>
    <w:rsid w:val="00B0333E"/>
    <w:rsid w:val="00B076A0"/>
    <w:rsid w:val="00B07D27"/>
    <w:rsid w:val="00B16B4D"/>
    <w:rsid w:val="00B37926"/>
    <w:rsid w:val="00B43A63"/>
    <w:rsid w:val="00B475E4"/>
    <w:rsid w:val="00B55B11"/>
    <w:rsid w:val="00B61F6D"/>
    <w:rsid w:val="00B66222"/>
    <w:rsid w:val="00B671E0"/>
    <w:rsid w:val="00B75A94"/>
    <w:rsid w:val="00B77149"/>
    <w:rsid w:val="00B86D82"/>
    <w:rsid w:val="00B9510B"/>
    <w:rsid w:val="00BB59D5"/>
    <w:rsid w:val="00BC2C2E"/>
    <w:rsid w:val="00BF38B7"/>
    <w:rsid w:val="00BF6216"/>
    <w:rsid w:val="00C06ADB"/>
    <w:rsid w:val="00C14799"/>
    <w:rsid w:val="00C150CC"/>
    <w:rsid w:val="00C22E8B"/>
    <w:rsid w:val="00C37747"/>
    <w:rsid w:val="00C52F19"/>
    <w:rsid w:val="00C616FD"/>
    <w:rsid w:val="00C679CD"/>
    <w:rsid w:val="00C7686E"/>
    <w:rsid w:val="00C9139A"/>
    <w:rsid w:val="00C93974"/>
    <w:rsid w:val="00C95549"/>
    <w:rsid w:val="00C960B2"/>
    <w:rsid w:val="00CA0766"/>
    <w:rsid w:val="00CA0E22"/>
    <w:rsid w:val="00CB357D"/>
    <w:rsid w:val="00CB4F1B"/>
    <w:rsid w:val="00CC5502"/>
    <w:rsid w:val="00CC5B17"/>
    <w:rsid w:val="00CD0097"/>
    <w:rsid w:val="00CD6CEF"/>
    <w:rsid w:val="00D00B64"/>
    <w:rsid w:val="00D13A8F"/>
    <w:rsid w:val="00D24CF0"/>
    <w:rsid w:val="00D263C7"/>
    <w:rsid w:val="00D4256B"/>
    <w:rsid w:val="00D46092"/>
    <w:rsid w:val="00D46C41"/>
    <w:rsid w:val="00D652C1"/>
    <w:rsid w:val="00D724A8"/>
    <w:rsid w:val="00D82477"/>
    <w:rsid w:val="00D920C1"/>
    <w:rsid w:val="00D92592"/>
    <w:rsid w:val="00D9590A"/>
    <w:rsid w:val="00DA2F4E"/>
    <w:rsid w:val="00DD11CA"/>
    <w:rsid w:val="00DD11CB"/>
    <w:rsid w:val="00DD556C"/>
    <w:rsid w:val="00DE20CA"/>
    <w:rsid w:val="00DE213F"/>
    <w:rsid w:val="00DE4F56"/>
    <w:rsid w:val="00E13DB4"/>
    <w:rsid w:val="00E2373C"/>
    <w:rsid w:val="00E40F2D"/>
    <w:rsid w:val="00E45415"/>
    <w:rsid w:val="00E455E5"/>
    <w:rsid w:val="00E563C3"/>
    <w:rsid w:val="00E57FF6"/>
    <w:rsid w:val="00E64132"/>
    <w:rsid w:val="00E67823"/>
    <w:rsid w:val="00E70B7A"/>
    <w:rsid w:val="00E82A62"/>
    <w:rsid w:val="00E90908"/>
    <w:rsid w:val="00E91546"/>
    <w:rsid w:val="00E96923"/>
    <w:rsid w:val="00EA6058"/>
    <w:rsid w:val="00EB1621"/>
    <w:rsid w:val="00EB5089"/>
    <w:rsid w:val="00EC18C4"/>
    <w:rsid w:val="00ED0DF5"/>
    <w:rsid w:val="00ED1EA5"/>
    <w:rsid w:val="00EE5B36"/>
    <w:rsid w:val="00F02AD4"/>
    <w:rsid w:val="00F11E92"/>
    <w:rsid w:val="00F15356"/>
    <w:rsid w:val="00F41548"/>
    <w:rsid w:val="00F74A94"/>
    <w:rsid w:val="00F9179B"/>
    <w:rsid w:val="00FA00EF"/>
    <w:rsid w:val="00FA6736"/>
    <w:rsid w:val="00FD731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1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A07E-29A5-4A1C-9952-F67E0DC1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Emilia Altanova</cp:lastModifiedBy>
  <cp:revision>12</cp:revision>
  <dcterms:created xsi:type="dcterms:W3CDTF">2025-04-23T12:28:00Z</dcterms:created>
  <dcterms:modified xsi:type="dcterms:W3CDTF">2025-04-29T08:03:00Z</dcterms:modified>
</cp:coreProperties>
</file>