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91" w:rsidRPr="00AA1601" w:rsidRDefault="00170791" w:rsidP="00F17A0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170791" w:rsidRDefault="00170791" w:rsidP="00F17A0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70791" w:rsidRDefault="00170791" w:rsidP="00F17A0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170791" w:rsidRDefault="00170791" w:rsidP="00F17A0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805FBA" w:rsidRDefault="00F17A00" w:rsidP="00602CE2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  <w:bookmarkStart w:id="0" w:name="_GoBack"/>
      <w:bookmarkEnd w:id="0"/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ПРОТИВООБЩЕСТВЕНИ ПРОЯВИ И ПРЕСТЪПЛЕНИЯ НА МАЛОЛЕТНИТЕ </w:t>
      </w:r>
    </w:p>
    <w:p w:rsidR="00F17A00" w:rsidRPr="00F17A00" w:rsidRDefault="00F17A00" w:rsidP="00602CE2">
      <w:pPr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И</w:t>
      </w:r>
      <w:r w:rsidR="00805FBA">
        <w:rPr>
          <w:rFonts w:ascii="Verdana" w:eastAsia="Times New Roman" w:hAnsi="Verdana" w:cs="Times New Roman"/>
          <w:b/>
          <w:bCs/>
          <w:noProof/>
          <w:sz w:val="20"/>
          <w:szCs w:val="20"/>
          <w:lang w:eastAsia="bg-BG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noProof/>
          <w:sz w:val="20"/>
          <w:szCs w:val="20"/>
          <w:lang w:val="bg-BG" w:eastAsia="bg-BG"/>
        </w:rPr>
        <w:t>НЕПЪЛНОЛЕТНИТЕ ЛИЦА ПРЕЗ 2024 ГОДИНА</w:t>
      </w:r>
    </w:p>
    <w:p w:rsidR="0073402D" w:rsidRPr="00331329" w:rsidRDefault="00F17A00" w:rsidP="00602CE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</w:rPr>
      </w:pP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През 202</w:t>
      </w:r>
      <w:r w:rsidRPr="00F17A00">
        <w:rPr>
          <w:rFonts w:ascii="Verdana" w:eastAsia="Times New Roman" w:hAnsi="Verdana" w:cs="Times New Roman"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г. </w:t>
      </w: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>на отчет</w:t>
      </w:r>
      <w:r w:rsidRPr="00F17A00">
        <w:rPr>
          <w:rFonts w:ascii="Verdana" w:eastAsia="Times New Roman" w:hAnsi="Verdana" w:cs="Times New Roman"/>
          <w:b/>
          <w:sz w:val="20"/>
          <w:szCs w:val="20"/>
          <w:vertAlign w:val="superscript"/>
          <w:lang w:val="bg-BG"/>
        </w:rPr>
        <w:footnoteReference w:id="1"/>
      </w: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в детските педагогически стаи </w:t>
      </w:r>
      <w:r w:rsidR="00704751">
        <w:rPr>
          <w:rFonts w:ascii="Verdana" w:eastAsia="Times New Roman" w:hAnsi="Verdana" w:cs="Times New Roman"/>
          <w:b/>
          <w:sz w:val="20"/>
          <w:szCs w:val="20"/>
          <w:lang w:val="bg-BG"/>
        </w:rPr>
        <w:t>(</w:t>
      </w:r>
      <w:r w:rsidR="006A0024">
        <w:rPr>
          <w:rFonts w:ascii="Verdana" w:eastAsia="Times New Roman" w:hAnsi="Verdana" w:cs="Times New Roman"/>
          <w:b/>
          <w:sz w:val="20"/>
          <w:szCs w:val="20"/>
          <w:lang w:val="bg-BG"/>
        </w:rPr>
        <w:t>ДПС</w:t>
      </w:r>
      <w:r w:rsidR="00704751">
        <w:rPr>
          <w:rFonts w:ascii="Verdana" w:eastAsia="Times New Roman" w:hAnsi="Verdana" w:cs="Times New Roman"/>
          <w:b/>
          <w:sz w:val="20"/>
          <w:szCs w:val="20"/>
          <w:lang w:val="bg-BG"/>
        </w:rPr>
        <w:t>)</w:t>
      </w:r>
      <w:r w:rsidR="006A002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са водени </w:t>
      </w:r>
      <w:r w:rsidR="00496661">
        <w:rPr>
          <w:rFonts w:ascii="Verdana" w:eastAsia="Times New Roman" w:hAnsi="Verdana" w:cs="Times New Roman"/>
          <w:sz w:val="20"/>
          <w:szCs w:val="20"/>
          <w:lang w:val="bg-BG"/>
        </w:rPr>
        <w:br/>
        <w:t>8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sz w:val="20"/>
          <w:szCs w:val="20"/>
        </w:rPr>
        <w:t>430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малолетни и непълнолетни лица за извършени от тях противообществени прояви и престъпления. В сравнение с 20</w:t>
      </w:r>
      <w:r w:rsidRPr="00F17A00">
        <w:rPr>
          <w:rFonts w:ascii="Verdana" w:eastAsia="Times New Roman" w:hAnsi="Verdana" w:cs="Times New Roman"/>
          <w:sz w:val="20"/>
          <w:szCs w:val="20"/>
        </w:rPr>
        <w:t>23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г. броят им намалява с </w:t>
      </w:r>
      <w:r w:rsidRPr="00F17A00">
        <w:rPr>
          <w:rFonts w:ascii="Verdana" w:eastAsia="Times New Roman" w:hAnsi="Verdana" w:cs="Times New Roman"/>
          <w:sz w:val="20"/>
          <w:szCs w:val="20"/>
        </w:rPr>
        <w:t>90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, или с </w:t>
      </w:r>
      <w:r w:rsidRPr="00F17A00">
        <w:rPr>
          <w:rFonts w:ascii="Verdana" w:eastAsia="Times New Roman" w:hAnsi="Verdana" w:cs="Times New Roman"/>
          <w:sz w:val="20"/>
          <w:szCs w:val="20"/>
        </w:rPr>
        <w:t>1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sz w:val="20"/>
          <w:szCs w:val="20"/>
        </w:rPr>
        <w:t>1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%</w:t>
      </w:r>
      <w:r w:rsidR="0073402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AA5E0D">
        <w:rPr>
          <w:rFonts w:ascii="Verdana" w:eastAsia="Times New Roman" w:hAnsi="Verdana" w:cs="Times New Roman"/>
          <w:sz w:val="20"/>
          <w:szCs w:val="20"/>
          <w:lang w:val="bg-BG"/>
        </w:rPr>
        <w:br/>
        <w:t>(виж табл.</w:t>
      </w:r>
      <w:r w:rsidR="0073402D">
        <w:rPr>
          <w:rFonts w:ascii="Verdana" w:eastAsia="Times New Roman" w:hAnsi="Verdana" w:cs="Times New Roman"/>
          <w:sz w:val="20"/>
          <w:szCs w:val="20"/>
          <w:lang w:val="bg-BG"/>
        </w:rPr>
        <w:t xml:space="preserve"> 1)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4A098F" w:rsidRDefault="001246E2" w:rsidP="005D5EBB">
      <w:pPr>
        <w:spacing w:before="16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 </w:t>
      </w:r>
      <w:r w:rsidR="004420B0">
        <w:rPr>
          <w:rFonts w:ascii="Verdana" w:eastAsia="Times New Roman" w:hAnsi="Verdana" w:cs="Times New Roman"/>
          <w:b/>
          <w:sz w:val="20"/>
          <w:szCs w:val="20"/>
          <w:lang w:val="bg-BG"/>
        </w:rPr>
        <w:t>Табл</w:t>
      </w:r>
      <w:r w:rsidR="00157794">
        <w:rPr>
          <w:rFonts w:ascii="Verdana" w:eastAsia="Times New Roman" w:hAnsi="Verdana" w:cs="Times New Roman"/>
          <w:b/>
          <w:sz w:val="20"/>
          <w:szCs w:val="20"/>
          <w:lang w:val="bg-BG"/>
        </w:rPr>
        <w:t>ица</w:t>
      </w:r>
      <w:r w:rsidR="004420B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1</w:t>
      </w:r>
      <w:r w:rsidR="00157794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  <w:r w:rsidR="004420B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  <w:r w:rsidR="00E313B6">
        <w:rPr>
          <w:rFonts w:ascii="Verdana" w:eastAsia="Times New Roman" w:hAnsi="Verdana" w:cs="Times New Roman"/>
          <w:b/>
          <w:sz w:val="20"/>
          <w:szCs w:val="20"/>
          <w:lang w:val="bg-BG"/>
        </w:rPr>
        <w:t>Водени на отчет в ДПС</w:t>
      </w:r>
      <w:r w:rsidR="002B0E58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по пол и възрастови групи</w:t>
      </w:r>
      <w:r w:rsidR="00E313B6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73402D" w:rsidRPr="0073402D" w:rsidRDefault="00E313B6" w:rsidP="00602CE2">
      <w:pPr>
        <w:spacing w:after="0" w:line="240" w:lineRule="auto"/>
        <w:ind w:left="-851" w:firstLine="567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през 2024 година</w:t>
      </w:r>
    </w:p>
    <w:p w:rsidR="0073402D" w:rsidRPr="00D64142" w:rsidRDefault="00D84BBD" w:rsidP="003030E9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bg-BG"/>
        </w:rPr>
      </w:pPr>
      <w:r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</w:r>
      <w:r w:rsidR="003030E9">
        <w:rPr>
          <w:rFonts w:ascii="Verdana" w:eastAsia="Times New Roman" w:hAnsi="Verdana" w:cs="Times New Roman"/>
          <w:sz w:val="16"/>
          <w:szCs w:val="16"/>
          <w:lang w:val="bg-BG"/>
        </w:rPr>
        <w:tab/>
        <w:t xml:space="preserve">    </w:t>
      </w:r>
      <w:r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  <w:r w:rsidRPr="00D64142">
        <w:rPr>
          <w:rFonts w:ascii="Verdana" w:eastAsia="Times New Roman" w:hAnsi="Verdana" w:cs="Times New Roman"/>
          <w:sz w:val="16"/>
          <w:szCs w:val="16"/>
        </w:rPr>
        <w:t>(</w:t>
      </w:r>
      <w:r w:rsidRPr="00D64142">
        <w:rPr>
          <w:rFonts w:ascii="Verdana" w:eastAsia="Times New Roman" w:hAnsi="Verdana" w:cs="Times New Roman"/>
          <w:sz w:val="16"/>
          <w:szCs w:val="16"/>
          <w:lang w:val="bg-BG"/>
        </w:rPr>
        <w:t>Брой)</w:t>
      </w:r>
    </w:p>
    <w:tbl>
      <w:tblPr>
        <w:tblW w:w="34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1278"/>
        <w:gridCol w:w="1276"/>
        <w:gridCol w:w="1274"/>
      </w:tblGrid>
      <w:tr w:rsidR="001167BF" w:rsidRPr="00220F22" w:rsidTr="00217F62">
        <w:trPr>
          <w:trHeight w:val="338"/>
          <w:jc w:val="center"/>
        </w:trPr>
        <w:tc>
          <w:tcPr>
            <w:tcW w:w="1929" w:type="pct"/>
            <w:shd w:val="clear" w:color="auto" w:fill="auto"/>
            <w:vAlign w:val="center"/>
          </w:tcPr>
          <w:p w:rsidR="001167BF" w:rsidRPr="004F5D53" w:rsidRDefault="006A0024" w:rsidP="006A0024">
            <w:pPr>
              <w:tabs>
                <w:tab w:val="left" w:pos="3123"/>
              </w:tabs>
              <w:spacing w:after="0" w:line="240" w:lineRule="auto"/>
              <w:ind w:left="-65" w:right="-99"/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</w:pPr>
            <w:r w:rsidRPr="004F5D53">
              <w:rPr>
                <w:rFonts w:ascii="Verdana" w:eastAsia="Μοντέρνα" w:hAnsi="Verdana" w:cs="Times New Roman"/>
                <w:b/>
                <w:sz w:val="16"/>
                <w:szCs w:val="16"/>
                <w:lang w:val="bg-BG" w:eastAsia="bg-BG"/>
              </w:rPr>
              <w:t>Водени на отчет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1167BF" w:rsidRPr="004F5D53" w:rsidRDefault="001167BF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F5D5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167BF" w:rsidRPr="004F5D53" w:rsidRDefault="001167BF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F5D5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Момчета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67BF" w:rsidRPr="004F5D53" w:rsidRDefault="001167BF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4F5D53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Момичета</w:t>
            </w:r>
          </w:p>
        </w:tc>
      </w:tr>
      <w:tr w:rsidR="001167BF" w:rsidRPr="00DF14BF" w:rsidTr="002252D7">
        <w:trPr>
          <w:trHeight w:val="360"/>
          <w:jc w:val="center"/>
        </w:trPr>
        <w:tc>
          <w:tcPr>
            <w:tcW w:w="1929" w:type="pct"/>
            <w:vAlign w:val="center"/>
          </w:tcPr>
          <w:p w:rsidR="001167BF" w:rsidRPr="00D64142" w:rsidRDefault="001167BF" w:rsidP="00BF5AA3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bg-BG" w:eastAsia="bg-BG"/>
              </w:rPr>
              <w:t>Общо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8430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6563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bg-BG" w:eastAsia="bg-BG"/>
              </w:rPr>
              <w:t>1867</w:t>
            </w:r>
          </w:p>
        </w:tc>
      </w:tr>
      <w:tr w:rsidR="001167BF" w:rsidRPr="00DF14BF" w:rsidTr="002252D7">
        <w:trPr>
          <w:trHeight w:val="335"/>
          <w:jc w:val="center"/>
        </w:trPr>
        <w:tc>
          <w:tcPr>
            <w:tcW w:w="1929" w:type="pct"/>
            <w:vAlign w:val="center"/>
          </w:tcPr>
          <w:p w:rsidR="001167BF" w:rsidRPr="00D64142" w:rsidRDefault="001167BF" w:rsidP="00BF5AA3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Малолетни (8 - 13 г.)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  <w:t>1829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  <w:t>1377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Cs/>
                <w:color w:val="000000"/>
                <w:sz w:val="16"/>
                <w:szCs w:val="16"/>
                <w:lang w:val="bg-BG" w:eastAsia="bg-BG"/>
              </w:rPr>
              <w:t>452</w:t>
            </w:r>
          </w:p>
        </w:tc>
      </w:tr>
      <w:tr w:rsidR="001167BF" w:rsidRPr="00DF14BF" w:rsidTr="002252D7">
        <w:trPr>
          <w:trHeight w:val="435"/>
          <w:jc w:val="center"/>
        </w:trPr>
        <w:tc>
          <w:tcPr>
            <w:tcW w:w="1929" w:type="pct"/>
            <w:vAlign w:val="center"/>
          </w:tcPr>
          <w:p w:rsidR="001167BF" w:rsidRPr="00D64142" w:rsidRDefault="001167BF" w:rsidP="00D64142">
            <w:pPr>
              <w:spacing w:after="0" w:line="240" w:lineRule="auto"/>
              <w:ind w:left="-65"/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bCs/>
                <w:sz w:val="16"/>
                <w:szCs w:val="16"/>
                <w:lang w:val="bg-BG" w:eastAsia="bg-BG"/>
              </w:rPr>
              <w:t>Непълнолетни (14 - 17 г.)</w:t>
            </w:r>
          </w:p>
        </w:tc>
        <w:tc>
          <w:tcPr>
            <w:tcW w:w="1025" w:type="pct"/>
            <w:shd w:val="clear" w:color="auto" w:fill="auto"/>
            <w:vAlign w:val="center"/>
          </w:tcPr>
          <w:p w:rsidR="001167BF" w:rsidRPr="00D64142" w:rsidRDefault="002E672B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6601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1167BF" w:rsidRPr="00D64142" w:rsidRDefault="00F94C2C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5186</w:t>
            </w:r>
          </w:p>
        </w:tc>
        <w:tc>
          <w:tcPr>
            <w:tcW w:w="1022" w:type="pct"/>
            <w:shd w:val="clear" w:color="auto" w:fill="auto"/>
            <w:vAlign w:val="center"/>
          </w:tcPr>
          <w:p w:rsidR="001167BF" w:rsidRPr="00D64142" w:rsidRDefault="00F94C2C" w:rsidP="00BF5AA3">
            <w:pPr>
              <w:spacing w:after="0" w:line="240" w:lineRule="auto"/>
              <w:ind w:left="-65" w:right="-64"/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</w:pPr>
            <w:r w:rsidRPr="00D64142"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bg-BG" w:eastAsia="bg-BG"/>
              </w:rPr>
              <w:t>1415</w:t>
            </w:r>
          </w:p>
        </w:tc>
      </w:tr>
    </w:tbl>
    <w:p w:rsidR="00760CBF" w:rsidRDefault="00760CBF" w:rsidP="00513E50">
      <w:pPr>
        <w:spacing w:after="12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EC4DD7" w:rsidRDefault="00331329" w:rsidP="00513E50">
      <w:pPr>
        <w:spacing w:after="12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Броят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на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заведените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на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отчет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vertAlign w:val="superscript"/>
          <w:lang w:val="bg-BG"/>
        </w:rPr>
        <w:footnoteReference w:id="2"/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в ДПС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през 202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г. 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е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699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, или 3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>
        <w:rPr>
          <w:rFonts w:ascii="Verdana" w:eastAsia="Times New Roman" w:hAnsi="Verdana" w:cs="Times New Roman"/>
          <w:bCs/>
          <w:sz w:val="20"/>
          <w:szCs w:val="20"/>
        </w:rPr>
        <w:t>.0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 от всички водени на отчет, като 7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 от тях са непълнолетни</w:t>
      </w:r>
      <w:r w:rsidR="0073757E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="0073757E">
        <w:rPr>
          <w:rFonts w:ascii="Verdana" w:eastAsia="Times New Roman" w:hAnsi="Verdana" w:cs="Times New Roman"/>
          <w:sz w:val="20"/>
          <w:szCs w:val="20"/>
          <w:lang w:val="bg-BG"/>
        </w:rPr>
        <w:t>(виж фиг. 1)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</w:p>
    <w:p w:rsidR="00760CBF" w:rsidRPr="00F17A00" w:rsidRDefault="00760CBF" w:rsidP="00760CBF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F17A00" w:rsidRPr="00F17A00" w:rsidRDefault="00F17A00" w:rsidP="00924288">
      <w:pPr>
        <w:keepNext/>
        <w:tabs>
          <w:tab w:val="num" w:pos="851"/>
        </w:tabs>
        <w:spacing w:after="0" w:line="360" w:lineRule="auto"/>
        <w:ind w:left="-851" w:firstLine="567"/>
        <w:jc w:val="center"/>
        <w:rPr>
          <w:rFonts w:ascii="Verdana" w:eastAsia="Times" w:hAnsi="Verdana" w:cs="Times New Roman"/>
          <w:b/>
          <w:sz w:val="20"/>
          <w:szCs w:val="20"/>
        </w:rPr>
      </w:pPr>
      <w:r w:rsidRPr="00F17A00"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  <w:drawing>
          <wp:inline distT="0" distB="0" distL="0" distR="0">
            <wp:extent cx="5672455" cy="30659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996" cy="30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438" w:rsidRDefault="00317438" w:rsidP="004B5A23">
      <w:pPr>
        <w:spacing w:before="160" w:after="0" w:line="36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</w:p>
    <w:p w:rsidR="00F17A00" w:rsidRPr="00F17A00" w:rsidRDefault="00F17A00" w:rsidP="00317438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lastRenderedPageBreak/>
        <w:t>През 202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г.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снети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>от отчет в ДПС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са 2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594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малолетни и непълнолетни, или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30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 от водените на отчет през годината: </w:t>
      </w:r>
    </w:p>
    <w:p w:rsidR="00F17A00" w:rsidRPr="00F17A00" w:rsidRDefault="00F17A00" w:rsidP="00DA62D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поради поправяне на поведението - 1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471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(5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%);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поради навършване на 18-годишна възраст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-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1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0</w:t>
      </w:r>
      <w:r w:rsidR="00D2088E">
        <w:rPr>
          <w:rFonts w:ascii="Verdana" w:eastAsia="Times New Roman" w:hAnsi="Verdana" w:cs="Times New Roman"/>
          <w:bCs/>
          <w:sz w:val="20"/>
          <w:szCs w:val="20"/>
          <w:lang w:val="bg-BG"/>
        </w:rPr>
        <w:t>6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(4</w:t>
      </w:r>
      <w:r w:rsidR="00D2088E">
        <w:rPr>
          <w:rFonts w:ascii="Verdana" w:eastAsia="Times New Roman" w:hAnsi="Verdana" w:cs="Times New Roman"/>
          <w:bCs/>
          <w:sz w:val="20"/>
          <w:szCs w:val="20"/>
          <w:lang w:val="bg-BG"/>
        </w:rPr>
        <w:t>1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="00D2088E">
        <w:rPr>
          <w:rFonts w:ascii="Verdana" w:eastAsia="Times New Roman" w:hAnsi="Verdana" w:cs="Times New Roman"/>
          <w:bCs/>
          <w:sz w:val="20"/>
          <w:szCs w:val="20"/>
          <w:lang w:val="bg-BG"/>
        </w:rPr>
        <w:t>1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%);</w:t>
      </w:r>
    </w:p>
    <w:p w:rsidR="008E671E" w:rsidRPr="00805FBA" w:rsidRDefault="00F17A00" w:rsidP="00602CE2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на други основания -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57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%). </w:t>
      </w:r>
    </w:p>
    <w:p w:rsidR="00F17A00" w:rsidRPr="00F17A00" w:rsidRDefault="00F17A00" w:rsidP="00AF4A2F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>За извършени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>противообществени прояви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през 202</w:t>
      </w:r>
      <w:r w:rsidRPr="00F17A00">
        <w:rPr>
          <w:rFonts w:ascii="Verdana" w:eastAsia="Times New Roman" w:hAnsi="Verdana" w:cs="Times New Roman"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г. през ДПС </w:t>
      </w:r>
      <w:r w:rsidRPr="00F17A00">
        <w:rPr>
          <w:rFonts w:ascii="Verdana" w:eastAsia="Times New Roman" w:hAnsi="Verdana" w:cs="Times New Roman"/>
          <w:b/>
          <w:sz w:val="20"/>
          <w:szCs w:val="20"/>
          <w:lang w:val="bg-BG"/>
        </w:rPr>
        <w:t>са преминали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sz w:val="20"/>
          <w:szCs w:val="20"/>
        </w:rPr>
        <w:t>5 609</w:t>
      </w:r>
      <w:r w:rsidR="009E546E">
        <w:rPr>
          <w:rFonts w:ascii="Verdana" w:eastAsia="Times New Roman" w:hAnsi="Verdana" w:cs="Times New Roman"/>
          <w:sz w:val="20"/>
          <w:szCs w:val="20"/>
          <w:lang w:val="bg-BG"/>
        </w:rPr>
        <w:t xml:space="preserve"> деца, като о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т тях момчетата са </w:t>
      </w:r>
      <w:r w:rsidRPr="00F17A00">
        <w:rPr>
          <w:rFonts w:ascii="Verdana" w:eastAsia="Times New Roman" w:hAnsi="Verdana" w:cs="Times New Roman"/>
          <w:sz w:val="20"/>
          <w:szCs w:val="20"/>
        </w:rPr>
        <w:t>3</w:t>
      </w:r>
      <w:r w:rsidR="007102D4">
        <w:rPr>
          <w:rFonts w:ascii="Verdana" w:eastAsia="Times New Roman" w:hAnsi="Verdana" w:cs="Times New Roman"/>
          <w:sz w:val="20"/>
          <w:szCs w:val="20"/>
        </w:rPr>
        <w:t> </w:t>
      </w:r>
      <w:r w:rsidRPr="00F17A00">
        <w:rPr>
          <w:rFonts w:ascii="Verdana" w:eastAsia="Times New Roman" w:hAnsi="Verdana" w:cs="Times New Roman"/>
          <w:sz w:val="20"/>
          <w:szCs w:val="20"/>
        </w:rPr>
        <w:t>917</w:t>
      </w:r>
      <w:r w:rsidR="007102D4">
        <w:rPr>
          <w:rFonts w:ascii="Verdana" w:eastAsia="Times New Roman" w:hAnsi="Verdana" w:cs="Times New Roman"/>
          <w:sz w:val="20"/>
          <w:szCs w:val="20"/>
          <w:lang w:val="bg-BG"/>
        </w:rPr>
        <w:t xml:space="preserve"> (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69.</w:t>
      </w:r>
      <w:r w:rsidRPr="00F17A00">
        <w:rPr>
          <w:rFonts w:ascii="Verdana" w:eastAsia="Times New Roman" w:hAnsi="Verdana" w:cs="Times New Roman"/>
          <w:sz w:val="20"/>
          <w:szCs w:val="20"/>
        </w:rPr>
        <w:t>8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%</w:t>
      </w:r>
      <w:r w:rsidR="007102D4">
        <w:rPr>
          <w:rFonts w:ascii="Verdana" w:eastAsia="Times New Roman" w:hAnsi="Verdana" w:cs="Times New Roman"/>
          <w:sz w:val="20"/>
          <w:szCs w:val="20"/>
          <w:lang w:val="bg-BG"/>
        </w:rPr>
        <w:t>)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, а момичетата - 1 </w:t>
      </w:r>
      <w:r w:rsidRPr="00F17A00">
        <w:rPr>
          <w:rFonts w:ascii="Verdana" w:eastAsia="Times New Roman" w:hAnsi="Verdana" w:cs="Times New Roman"/>
          <w:sz w:val="20"/>
          <w:szCs w:val="20"/>
        </w:rPr>
        <w:t>692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 xml:space="preserve"> (30.</w:t>
      </w:r>
      <w:r w:rsidRPr="00F17A00">
        <w:rPr>
          <w:rFonts w:ascii="Verdana" w:eastAsia="Times New Roman" w:hAnsi="Verdana" w:cs="Times New Roman"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%).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sz w:val="20"/>
          <w:szCs w:val="20"/>
          <w:lang w:val="bg-BG"/>
        </w:rPr>
        <w:t>Разпределението на преминалите през ДПС по някои видове противообществени прояви е следното:</w:t>
      </w:r>
    </w:p>
    <w:p w:rsidR="00F17A00" w:rsidRPr="00F17A00" w:rsidRDefault="00F17A00" w:rsidP="00D1306D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бягство от дома (от вкъщи), от специализирана институция или от социална услуга от резидентен тип </w:t>
      </w:r>
      <w:r w:rsidR="00CC62A1">
        <w:rPr>
          <w:rFonts w:ascii="Verdana" w:eastAsia="Times New Roman" w:hAnsi="Verdana" w:cs="Times New Roman"/>
          <w:bCs/>
          <w:sz w:val="20"/>
          <w:szCs w:val="20"/>
          <w:lang w:val="bg-BG"/>
        </w:rPr>
        <w:t>-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1 034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(1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%);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прояви на насилие и агресия -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913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(1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6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%);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повреждане на обществена и/или частна собственост - 5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65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10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%); 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употреба на психоактивни вещества - 54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(9.8%);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непристойно и/или хулиганско поведение на обществено място - 4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78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5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%);</w:t>
      </w:r>
    </w:p>
    <w:p w:rsidR="00F17A00" w:rsidRPr="00F17A00" w:rsidRDefault="00F17A00" w:rsidP="00602CE2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тормоз - 4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 xml:space="preserve">01 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(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.1%);</w:t>
      </w:r>
    </w:p>
    <w:p w:rsidR="008E671E" w:rsidRPr="00805FBA" w:rsidRDefault="00F17A00" w:rsidP="00602CE2">
      <w:pPr>
        <w:numPr>
          <w:ilvl w:val="0"/>
          <w:numId w:val="3"/>
        </w:numPr>
        <w:spacing w:line="360" w:lineRule="auto"/>
        <w:ind w:left="0"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скитничество и просия - общо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127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%).</w:t>
      </w:r>
    </w:p>
    <w:p w:rsidR="00F17A00" w:rsidRPr="00F17A00" w:rsidRDefault="00F17A00" w:rsidP="00AF4A2F">
      <w:pPr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През 202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>4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г. 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малолетните и непълнолетните, преминали през ДПС за извършени престъпления,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са 4 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>835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.</w:t>
      </w:r>
    </w:p>
    <w:p w:rsidR="00F17A00" w:rsidRPr="002A1508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Кражбите на имущество са най-разпространените престъпления, извършвани от лицата на възраст 8 - 17 години. Извършители на кражби </w:t>
      </w:r>
      <w:r w:rsidR="009E546E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през отчетната година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са </w:t>
      </w:r>
      <w:r w:rsidR="00474DF3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  <w:t>2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538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, или 5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>2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.5% от всички преминали през ДПС за извършени престъпления. </w:t>
      </w:r>
      <w:r w:rsidR="00CD48BE">
        <w:rPr>
          <w:rFonts w:ascii="Verdana" w:eastAsia="Μοντέρνα" w:hAnsi="Verdana" w:cs="Times New Roman"/>
          <w:sz w:val="20"/>
          <w:szCs w:val="20"/>
          <w:lang w:val="bg-BG" w:eastAsia="bg-BG"/>
        </w:rPr>
        <w:br/>
        <w:t>Най-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висок е делът на извършителите на кражби от магазини или други търговски обекти - 42% (1 067 лица), следват кражбите от домове - 17.7% (448 лица), и джеб</w:t>
      </w:r>
      <w:r w:rsidR="00845E7E">
        <w:rPr>
          <w:rFonts w:ascii="Verdana" w:eastAsia="Μοντέρνα" w:hAnsi="Verdana" w:cs="Times New Roman"/>
          <w:sz w:val="20"/>
          <w:szCs w:val="20"/>
          <w:lang w:val="bg-BG" w:eastAsia="bg-BG"/>
        </w:rPr>
        <w:t>чийски кражби - 5.2% (133 лица</w:t>
      </w:r>
      <w:r w:rsidR="003A7DA3">
        <w:rPr>
          <w:rFonts w:ascii="Verdana" w:eastAsia="Μοντέρνα" w:hAnsi="Verdana" w:cs="Times New Roman"/>
          <w:sz w:val="20"/>
          <w:szCs w:val="20"/>
          <w:lang w:val="bg-BG" w:eastAsia="bg-BG"/>
        </w:rPr>
        <w:t>)</w:t>
      </w:r>
      <w:r w:rsidR="00561976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="003A7DA3">
        <w:rPr>
          <w:rFonts w:ascii="Verdana" w:eastAsia="Μοντέρνα" w:hAnsi="Verdana" w:cs="Times New Roman"/>
          <w:sz w:val="20"/>
          <w:szCs w:val="20"/>
          <w:lang w:val="bg-BG" w:eastAsia="bg-BG"/>
        </w:rPr>
        <w:t>(</w:t>
      </w:r>
      <w:r w:rsidR="00561976">
        <w:rPr>
          <w:rFonts w:ascii="Verdana" w:eastAsia="Μοντέρνα" w:hAnsi="Verdana" w:cs="Times New Roman"/>
          <w:sz w:val="20"/>
          <w:szCs w:val="20"/>
          <w:lang w:val="bg-BG" w:eastAsia="bg-BG"/>
        </w:rPr>
        <w:t>виж фиг. 2</w:t>
      </w:r>
      <w:r w:rsidR="003A7DA3">
        <w:rPr>
          <w:rFonts w:ascii="Verdana" w:eastAsia="Μοντέρνα" w:hAnsi="Verdana" w:cs="Times New Roman"/>
          <w:sz w:val="20"/>
          <w:szCs w:val="20"/>
          <w:lang w:val="bg-BG" w:eastAsia="bg-BG"/>
        </w:rPr>
        <w:t>).</w:t>
      </w:r>
    </w:p>
    <w:p w:rsidR="00F17A00" w:rsidRPr="00F17A00" w:rsidRDefault="00F17A00" w:rsidP="0051450C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</w:p>
    <w:p w:rsidR="00F17A00" w:rsidRDefault="00F17A00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C62A1" w:rsidRDefault="00CC62A1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63639" w:rsidRDefault="00B63639" w:rsidP="0051450C">
      <w:pPr>
        <w:spacing w:after="0" w:line="360" w:lineRule="auto"/>
        <w:ind w:firstLine="567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CA4489" w:rsidRDefault="00F17A00" w:rsidP="00602CE2">
      <w:pPr>
        <w:spacing w:after="0" w:line="360" w:lineRule="auto"/>
        <w:ind w:left="-851" w:firstLine="567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F17A00">
        <w:rPr>
          <w:rFonts w:ascii="Verdana" w:eastAsia="Μοντέρνα" w:hAnsi="Verdana" w:cs="Times New Roman"/>
          <w:noProof/>
          <w:sz w:val="20"/>
          <w:szCs w:val="20"/>
          <w:lang w:val="bg-BG" w:eastAsia="bg-BG"/>
        </w:rPr>
        <w:lastRenderedPageBreak/>
        <w:drawing>
          <wp:inline distT="0" distB="0" distL="0" distR="0">
            <wp:extent cx="6303010" cy="3590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25" cy="371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00" w:rsidRPr="00F17A00" w:rsidRDefault="00F17A00" w:rsidP="004A22AB">
      <w:pPr>
        <w:spacing w:before="160" w:after="0" w:line="360" w:lineRule="auto"/>
        <w:ind w:firstLine="567"/>
        <w:jc w:val="both"/>
        <w:rPr>
          <w:rFonts w:ascii="Verdana" w:eastAsia="Times New Roman" w:hAnsi="Verdana" w:cs="Times New Roman"/>
          <w:bCs/>
          <w:sz w:val="20"/>
          <w:szCs w:val="20"/>
          <w:lang w:val="bg-BG"/>
        </w:rPr>
      </w:pP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През 202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4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г. в ДПС са регистрирани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1 215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</w:t>
      </w:r>
      <w:r w:rsidRPr="00155F24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пострадали от престъпления </w:t>
      </w:r>
      <w:r w:rsidRPr="00155F24">
        <w:rPr>
          <w:rFonts w:ascii="Verdana" w:eastAsia="Times New Roman" w:hAnsi="Verdana" w:cs="Times New Roman"/>
          <w:bCs/>
          <w:sz w:val="20"/>
          <w:szCs w:val="20"/>
          <w:lang w:val="bg-BG"/>
        </w:rPr>
        <w:t>на възраст 8 - 17 години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, от които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750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(6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1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7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%) са момчета и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465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(3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8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3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%)</w:t>
      </w:r>
      <w:r w:rsidRPr="00F17A00"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  <w:t xml:space="preserve"> 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-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момичета. Малолетните пострадали лица са 3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9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.</w:t>
      </w:r>
      <w:r w:rsidRPr="00F17A00">
        <w:rPr>
          <w:rFonts w:ascii="Verdana" w:eastAsia="Times New Roman" w:hAnsi="Verdana" w:cs="Times New Roman"/>
          <w:bCs/>
          <w:sz w:val="20"/>
          <w:szCs w:val="20"/>
        </w:rPr>
        <w:t>2</w:t>
      </w:r>
      <w:r w:rsidRPr="00F17A00">
        <w:rPr>
          <w:rFonts w:ascii="Verdana" w:eastAsia="Times New Roman" w:hAnsi="Verdana" w:cs="Times New Roman"/>
          <w:bCs/>
          <w:sz w:val="20"/>
          <w:szCs w:val="20"/>
          <w:lang w:val="bg-BG"/>
        </w:rPr>
        <w:t>%, а непълнолетните - 60.8%.</w:t>
      </w:r>
    </w:p>
    <w:p w:rsidR="00CC62A1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Сред жертвите на престъпления най-много са пострадали</w:t>
      </w:r>
      <w:r w:rsidR="00CC62A1">
        <w:rPr>
          <w:rFonts w:ascii="Verdana" w:eastAsia="Μοντέρνα" w:hAnsi="Verdana" w:cs="Times New Roman"/>
          <w:sz w:val="20"/>
          <w:szCs w:val="20"/>
          <w:lang w:val="bg-BG" w:eastAsia="x-none"/>
        </w:rPr>
        <w:t>те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от кражби на имущество - 4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36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лица (3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5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.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9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%). Следват </w:t>
      </w:r>
      <w:r w:rsidR="00CC62A1">
        <w:rPr>
          <w:rFonts w:ascii="Verdana" w:eastAsia="Μοντέρνα" w:hAnsi="Verdana" w:cs="Times New Roman"/>
          <w:sz w:val="20"/>
          <w:szCs w:val="20"/>
          <w:lang w:val="bg-BG" w:eastAsia="x-none"/>
        </w:rPr>
        <w:t>тези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от нанесени телесни повреди - 2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94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лица (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24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.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2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%), от грабежи - 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8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3 лица (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6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.8%), от блудство - 68 лица (5.6%).</w:t>
      </w:r>
    </w:p>
    <w:p w:rsidR="00F17A00" w:rsidRPr="00F17A00" w:rsidRDefault="00F17A00" w:rsidP="00602CE2">
      <w:pPr>
        <w:spacing w:before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>Дейност на местните комисии за борба срещу противообществените прояви на малолетните и непълнолетните</w:t>
      </w:r>
    </w:p>
    <w:p w:rsidR="00CC62A1" w:rsidRDefault="00CC62A1" w:rsidP="00602CE2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В структурата на общественоопасните деяния, за които са наложени възпитателни мерки през годината, най-голям е относителният дял на извършените престъпления 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3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583 (61.2%), следвани от противообществените прояви - 1 912 (32.7%), и административните нарушения </w:t>
      </w:r>
      <w:r w:rsidRPr="00F17A0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-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357 (6.1%).</w:t>
      </w:r>
    </w:p>
    <w:p w:rsidR="00EC58C8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През отчетната година местните комисии са наложили 7 206 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 xml:space="preserve">възпитателни мерки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в съответствие с чл. 13, ал. 1 от Закона за борба срещу противообществените прояви на малолетните и непълнолетните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на 5 361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лица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на възраст от 8 до 17 години за извършените от тях 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 xml:space="preserve">5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852 общественоопасни деяния</w:t>
      </w:r>
      <w:r w:rsidRPr="00F17A00">
        <w:rPr>
          <w:rFonts w:ascii="Verdana" w:eastAsia="Μοντέρνα" w:hAnsi="Verdana" w:cs="Times New Roman"/>
          <w:sz w:val="20"/>
          <w:szCs w:val="20"/>
          <w:vertAlign w:val="superscript"/>
          <w:lang w:val="bg-BG" w:eastAsia="x-none"/>
        </w:rPr>
        <w:footnoteReference w:id="3"/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.</w:t>
      </w:r>
    </w:p>
    <w:p w:rsidR="003C1099" w:rsidRDefault="003C1099" w:rsidP="00602CE2">
      <w:pPr>
        <w:tabs>
          <w:tab w:val="left" w:pos="99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</w:p>
    <w:p w:rsidR="00F17A00" w:rsidRPr="00F17A00" w:rsidRDefault="00F17A00" w:rsidP="00602CE2">
      <w:pPr>
        <w:tabs>
          <w:tab w:val="left" w:pos="993"/>
        </w:tabs>
        <w:spacing w:before="160"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lastRenderedPageBreak/>
        <w:t>Най-често налаганите възпитателни мерки са:</w:t>
      </w:r>
    </w:p>
    <w:p w:rsidR="00F17A00" w:rsidRPr="00F17A00" w:rsidRDefault="00F17A00" w:rsidP="00F71F6B">
      <w:pPr>
        <w:numPr>
          <w:ilvl w:val="0"/>
          <w:numId w:val="2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предупреждение - 3 323 мерки (46.1%);</w:t>
      </w:r>
    </w:p>
    <w:p w:rsidR="00F17A00" w:rsidRPr="00F17A00" w:rsidRDefault="00F17A00" w:rsidP="00602CE2">
      <w:pPr>
        <w:numPr>
          <w:ilvl w:val="0"/>
          <w:numId w:val="2"/>
        </w:numPr>
        <w:tabs>
          <w:tab w:val="left" w:pos="0"/>
          <w:tab w:val="left" w:pos="1418"/>
        </w:tabs>
        <w:spacing w:after="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поставяне под възпитателен надзор на обществен възпитател 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>-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1</w:t>
      </w:r>
      <w:r w:rsidRPr="00F17A00">
        <w:rPr>
          <w:rFonts w:ascii="Verdana" w:eastAsia="Μοντέρνα" w:hAnsi="Verdana" w:cs="Times New Roman"/>
          <w:sz w:val="20"/>
          <w:szCs w:val="20"/>
          <w:lang w:eastAsia="x-none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464 възпитателни мерки (20.3%);</w:t>
      </w:r>
    </w:p>
    <w:p w:rsidR="00F17A00" w:rsidRPr="00F17A00" w:rsidRDefault="00F17A00" w:rsidP="00602CE2">
      <w:pPr>
        <w:numPr>
          <w:ilvl w:val="0"/>
          <w:numId w:val="2"/>
        </w:numPr>
        <w:tabs>
          <w:tab w:val="left" w:pos="0"/>
          <w:tab w:val="left" w:pos="1418"/>
        </w:tabs>
        <w:spacing w:after="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поставяне под възпитателен надзор на родителите или на лицата, които ги заместват, за полагане на засилени грижи </w:t>
      </w:r>
      <w:r w:rsidR="00AD3610">
        <w:rPr>
          <w:rFonts w:ascii="Verdana" w:eastAsia="Μοντέρνα" w:hAnsi="Verdana" w:cs="Times New Roman"/>
          <w:sz w:val="20"/>
          <w:szCs w:val="20"/>
          <w:lang w:eastAsia="x-none"/>
        </w:rPr>
        <w:t>-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 xml:space="preserve"> 1 108 мерки (15.4%);</w:t>
      </w:r>
    </w:p>
    <w:p w:rsidR="00F17A00" w:rsidRPr="00F17A00" w:rsidRDefault="00F17A00" w:rsidP="00602CE2">
      <w:pPr>
        <w:numPr>
          <w:ilvl w:val="0"/>
          <w:numId w:val="2"/>
        </w:numPr>
        <w:tabs>
          <w:tab w:val="left" w:pos="0"/>
          <w:tab w:val="left" w:pos="1418"/>
        </w:tabs>
        <w:spacing w:after="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задължаване да участва в консултации, обучения и програми - 485 мерки (6.7%);</w:t>
      </w:r>
    </w:p>
    <w:p w:rsidR="00F17A00" w:rsidRPr="00F17A00" w:rsidRDefault="00F17A00" w:rsidP="00602CE2">
      <w:pPr>
        <w:numPr>
          <w:ilvl w:val="0"/>
          <w:numId w:val="2"/>
        </w:numPr>
        <w:tabs>
          <w:tab w:val="left" w:pos="0"/>
          <w:tab w:val="left" w:pos="1418"/>
        </w:tabs>
        <w:spacing w:after="0" w:line="360" w:lineRule="auto"/>
        <w:ind w:left="0"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sz w:val="20"/>
          <w:szCs w:val="20"/>
          <w:lang w:val="bg-BG" w:eastAsia="x-none"/>
        </w:rPr>
        <w:t>задължаване на непълнолетния да извърши определена работа в полза на обществото - 266 мерки (3.7%).</w:t>
      </w:r>
    </w:p>
    <w:p w:rsidR="00F17A00" w:rsidRPr="00F17A00" w:rsidRDefault="00F17A00" w:rsidP="00486C35">
      <w:pPr>
        <w:spacing w:before="160" w:line="360" w:lineRule="auto"/>
        <w:ind w:firstLine="567"/>
        <w:jc w:val="center"/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x-none"/>
        </w:rPr>
        <w:t>Методологични бележки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Статистическото изследване на противообществените прояви и престъпления на малолетните и непълнолетните осигурява информация</w:t>
      </w:r>
      <w:r w:rsidRPr="00F17A00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 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на базата на годишни данни за лицата, водени, заведени, снети и преминали през детските педагогически стаи, лицата с наложени възпитателни мерки за извършени общоопасни деяния, както и за пострадалите малолетни и непълнолетни от престъпления. Източник на информацията са местните комисии за борба срещу противообществените прояви на малолетните и непълнолетните.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Обект на наблюдението 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е дейността на местните комисии за борба срещу противообществените прояви на малолетните и непълнолетните.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b/>
          <w:bCs/>
          <w:sz w:val="20"/>
          <w:szCs w:val="20"/>
          <w:lang w:val="bg-BG" w:eastAsia="bg-BG"/>
        </w:rPr>
        <w:t xml:space="preserve">Единици на наблюдение 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/>
        </w:rPr>
        <w:t>са малолетните и непълнолетните, извършители на противообществени прояви и престъпления.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bCs/>
          <w:sz w:val="20"/>
          <w:szCs w:val="20"/>
          <w:lang w:val="bg-BG" w:eastAsia="bg-BG" w:bidi="bg-BG"/>
        </w:rPr>
        <w:t>Местната комисия за борба срещу противообществените прояви на малолетните и непълнолетните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  <w:t xml:space="preserve"> е компетентен орган, който разглежда възпитателни дела, привежда в изпълнение наложените мерки съгласно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>Закона за борба срещу противообществените прояви на малолетните и непълнолетните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  <w:t xml:space="preserve"> (ЗБППМН) и осъществява контрол по изпълнението им.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bCs/>
          <w:sz w:val="20"/>
          <w:szCs w:val="20"/>
          <w:lang w:val="bg-BG" w:eastAsia="bg-BG" w:bidi="bg-BG"/>
        </w:rPr>
        <w:t xml:space="preserve">Малолетни лица 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  <w:t>са лицата на възраст от 8 до 13 навършени години.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bCs/>
          <w:sz w:val="20"/>
          <w:szCs w:val="20"/>
          <w:lang w:val="bg-BG" w:eastAsia="bg-BG" w:bidi="bg-BG"/>
        </w:rPr>
        <w:t xml:space="preserve">Непълнолетни лица </w:t>
      </w:r>
      <w:r w:rsidRPr="00F17A00">
        <w:rPr>
          <w:rFonts w:ascii="Verdana" w:eastAsia="Μοντέρνα" w:hAnsi="Verdana" w:cs="Times New Roman"/>
          <w:bCs/>
          <w:sz w:val="20"/>
          <w:szCs w:val="20"/>
          <w:lang w:val="bg-BG" w:eastAsia="bg-BG" w:bidi="bg-BG"/>
        </w:rPr>
        <w:t>са лицата на възраст от 14 до 17 навършени години.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 xml:space="preserve">Противообществената проява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е деяние, което е общественоопасно и противоправно или противоречи на морала и добрите нрави. 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/>
        </w:rPr>
        <w:t>Детските педагогически стаи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са специализирани заведения, които участват в превенцията на престъпността и противообществените прояви, извършени от малолетните и непълнолетните.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 броя на водените на отчет в ДПС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през годината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се включват малолетни и непълнолетни, които са извършили престъпления и/или противообществени прояви;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lastRenderedPageBreak/>
        <w:t xml:space="preserve">осъдени са за престъпления от общ характер; освободени от поправителните домове (ПД); освободени от ВУИ; освободени от социално-педагогическите интернати </w:t>
      </w:r>
      <w:r w:rsidRPr="00F17A00">
        <w:rPr>
          <w:rFonts w:ascii="Verdana" w:eastAsia="Μοντέρνα" w:hAnsi="Verdana" w:cs="Times New Roman"/>
          <w:sz w:val="20"/>
          <w:szCs w:val="20"/>
          <w:lang w:eastAsia="bg-BG" w:bidi="bg-BG"/>
        </w:rPr>
        <w:t>(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СПИ</w:t>
      </w:r>
      <w:r w:rsidRPr="00F17A00">
        <w:rPr>
          <w:rFonts w:ascii="Verdana" w:eastAsia="Μοντέρνα" w:hAnsi="Verdana" w:cs="Times New Roman"/>
          <w:sz w:val="20"/>
          <w:szCs w:val="20"/>
          <w:lang w:eastAsia="bg-BG" w:bidi="bg-BG"/>
        </w:rPr>
        <w:t>)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. Малолетните и непълнолетните лица се водят на отчет в ДПС за срок от 2 години, след което се снемат от отчет, ако през този период не са извършили повторно противоправни деяния. В броя на водените на отчет в ДПС 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>не се включва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 броят на малолетните и непълнолетните, които са 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>преминали през ДПС.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 броя на заведените на отчет в ДПС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през годината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се включват малолетни и непълнолетни лица, които са новозаведени през отчетната година.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 броя на снетите от отчет в ДПС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през годината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се включват малолетни и непълнолетни лица, които през отчетната година са отпаднали от отчет, като е посочена причината за снемане от отчет.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 броя на преминалите през ДПС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се включват малолетни и непълнолетни лица, които са извършили незначителни деяния, за които еднократната намеса на полицейски органи е била достатъчна и няма основания за тяхното завеждане на отчет в ДПС.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Възпитателна мярка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е алтернативна на наказанието мярка за възпитателно въздействие спрямо малолетен или непълнолетен, извършил противообществена проява, и непълнолетен, освободен от наказателна отговорност по чл. 61 от Наказателния кодекс, и се налага с цел преодоляване на отклоненията в поведението, предотвратяване на бъдещи нарушения и интеграция в обществото.</w:t>
      </w:r>
    </w:p>
    <w:p w:rsidR="00F17A00" w:rsidRPr="00F17A00" w:rsidRDefault="00F17A00" w:rsidP="00602CE2">
      <w:pPr>
        <w:spacing w:after="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 В броя на малолетните и непълнолетните лица с наложени възпитателни мерки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се включват всички малолетни и непълнолетни, извършители на противообществени прояви, престъпления или административни нарушения, спрямо които</w:t>
      </w:r>
      <w:r w:rsidR="006C1381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 са наложени възпитателни мерки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съгласно ЗБППМН. С оглед на деянието може да се наложи </w:t>
      </w: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>повече от една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 xml:space="preserve"> възпитателна мярка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 изключение на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/>
        </w:rPr>
        <w:t xml:space="preserve">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възпитателните мерки „настаняване в СПИ“ и „настаняване във ВУИ“.</w:t>
      </w:r>
    </w:p>
    <w:p w:rsidR="00F17A00" w:rsidRPr="00F17A00" w:rsidRDefault="00F17A00" w:rsidP="00602CE2">
      <w:pPr>
        <w:spacing w:after="0"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</w:pPr>
      <w:r w:rsidRPr="00F17A00">
        <w:rPr>
          <w:rFonts w:ascii="Verdana" w:eastAsia="Μοντέρνα" w:hAnsi="Verdana" w:cs="Times New Roman"/>
          <w:b/>
          <w:sz w:val="20"/>
          <w:szCs w:val="20"/>
          <w:lang w:val="bg-BG" w:eastAsia="bg-BG" w:bidi="bg-BG"/>
        </w:rPr>
        <w:t xml:space="preserve">В броя на малолетните и непълнолетните лица, пострадали от престъпления, </w:t>
      </w:r>
      <w:r w:rsidRPr="00F17A00">
        <w:rPr>
          <w:rFonts w:ascii="Verdana" w:eastAsia="Μοντέρνα" w:hAnsi="Verdana" w:cs="Times New Roman"/>
          <w:sz w:val="20"/>
          <w:szCs w:val="20"/>
          <w:lang w:val="bg-BG" w:eastAsia="bg-BG" w:bidi="bg-BG"/>
        </w:rPr>
        <w:t>се включват лицата, пострадали от различни видове престъпления по местоизвършване на деянието, а не по местоживеене на лицата.</w:t>
      </w:r>
    </w:p>
    <w:sectPr w:rsidR="00F17A00" w:rsidRPr="00F17A00" w:rsidSect="006A4C8F">
      <w:headerReference w:type="default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C4" w:rsidRDefault="005B64C4" w:rsidP="00D83F28">
      <w:pPr>
        <w:spacing w:after="0" w:line="240" w:lineRule="auto"/>
      </w:pPr>
      <w:r>
        <w:separator/>
      </w:r>
    </w:p>
  </w:endnote>
  <w:endnote w:type="continuationSeparator" w:id="0">
    <w:p w:rsidR="005B64C4" w:rsidRDefault="005B64C4" w:rsidP="00D8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A49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5A49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B5A23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4B5A23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C4" w:rsidRDefault="005B64C4" w:rsidP="00D83F28">
      <w:pPr>
        <w:spacing w:after="0" w:line="240" w:lineRule="auto"/>
      </w:pPr>
      <w:r>
        <w:separator/>
      </w:r>
    </w:p>
  </w:footnote>
  <w:footnote w:type="continuationSeparator" w:id="0">
    <w:p w:rsidR="005B64C4" w:rsidRDefault="005B64C4" w:rsidP="00D83F28">
      <w:pPr>
        <w:spacing w:after="0" w:line="240" w:lineRule="auto"/>
      </w:pPr>
      <w:r>
        <w:continuationSeparator/>
      </w:r>
    </w:p>
  </w:footnote>
  <w:footnote w:id="1">
    <w:p w:rsidR="00F17A00" w:rsidRPr="00E25BCB" w:rsidRDefault="00F17A00" w:rsidP="00F17A0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E25BCB">
        <w:rPr>
          <w:rStyle w:val="FootnoteReference"/>
          <w:rFonts w:ascii="Verdana" w:hAnsi="Verdana"/>
          <w:sz w:val="16"/>
          <w:szCs w:val="16"/>
        </w:rPr>
        <w:footnoteRef/>
      </w:r>
      <w:r w:rsidR="008E671E">
        <w:rPr>
          <w:rFonts w:ascii="Verdana" w:hAnsi="Verdana"/>
          <w:sz w:val="16"/>
          <w:szCs w:val="16"/>
          <w:lang w:val="bg-BG"/>
        </w:rPr>
        <w:t xml:space="preserve"> </w:t>
      </w:r>
      <w:r w:rsidRPr="00E25BCB">
        <w:rPr>
          <w:rFonts w:ascii="Verdana" w:hAnsi="Verdana"/>
          <w:sz w:val="16"/>
          <w:szCs w:val="16"/>
          <w:lang w:val="bg-BG"/>
        </w:rPr>
        <w:t>Съгласно чл. 26, ал. 1 от Правилника за детските педагогически стаи малолетните и непълнолетните лица се водят на отчет за срок от 2 години, след което се снемат от отчет, ако през този период не са извършили повторно противоправни деяния.</w:t>
      </w:r>
    </w:p>
  </w:footnote>
  <w:footnote w:id="2">
    <w:p w:rsidR="00331329" w:rsidRPr="00777FCC" w:rsidRDefault="008E671E" w:rsidP="00B94A3C">
      <w:pPr>
        <w:pStyle w:val="FootnoteText"/>
        <w:jc w:val="both"/>
        <w:rPr>
          <w:rFonts w:ascii="Times New Roman" w:hAnsi="Times New Roman"/>
          <w:lang w:val="en-US"/>
        </w:rPr>
      </w:pPr>
      <w:r>
        <w:rPr>
          <w:rStyle w:val="FootnoteReference"/>
          <w:rFonts w:ascii="Verdana" w:hAnsi="Verdana"/>
          <w:sz w:val="16"/>
          <w:szCs w:val="16"/>
          <w:lang w:val="bg-BG"/>
        </w:rPr>
        <w:t>2</w:t>
      </w:r>
      <w:r w:rsidR="00331329" w:rsidRPr="00E25BCB">
        <w:rPr>
          <w:rFonts w:ascii="Verdana" w:hAnsi="Verdana"/>
          <w:sz w:val="16"/>
          <w:szCs w:val="16"/>
          <w:lang w:val="bg-BG"/>
        </w:rPr>
        <w:t xml:space="preserve"> Включват се всички малолетни и непълнолетни лица, които са били новозаведени на отчет в ДПС през календарната година.</w:t>
      </w:r>
    </w:p>
  </w:footnote>
  <w:footnote w:id="3">
    <w:p w:rsidR="00F17A00" w:rsidRPr="00F17A00" w:rsidRDefault="00F17A00" w:rsidP="00F17A0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F17A00">
        <w:rPr>
          <w:rStyle w:val="FootnoteReference"/>
          <w:rFonts w:ascii="Verdana" w:hAnsi="Verdana"/>
          <w:sz w:val="16"/>
          <w:szCs w:val="16"/>
        </w:rPr>
        <w:footnoteRef/>
      </w:r>
      <w:r w:rsidR="00485689">
        <w:rPr>
          <w:rFonts w:ascii="Verdana" w:hAnsi="Verdana"/>
          <w:sz w:val="16"/>
          <w:szCs w:val="16"/>
          <w:lang w:val="bg-BG"/>
        </w:rPr>
        <w:t xml:space="preserve"> </w:t>
      </w:r>
      <w:r w:rsidRPr="00F17A00">
        <w:rPr>
          <w:rFonts w:ascii="Verdana" w:hAnsi="Verdana"/>
          <w:sz w:val="16"/>
          <w:szCs w:val="16"/>
          <w:lang w:val="bg-BG"/>
        </w:rPr>
        <w:t>Общественоопасните деяния включват извършените от лицата противообществени прояви, престъпления и административни нарушения.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4E" w:rsidRDefault="00FC164E" w:rsidP="00602CE2">
    <w:pPr>
      <w:spacing w:after="0" w:line="360" w:lineRule="auto"/>
      <w:jc w:val="center"/>
      <w:rPr>
        <w:rFonts w:ascii="Verdana" w:eastAsia="Calibri" w:hAnsi="Verdana" w:cs="Times New Roman"/>
        <w:b/>
        <w:sz w:val="20"/>
        <w:szCs w:val="20"/>
        <w:lang w:val="bg-BG"/>
      </w:rPr>
    </w:pPr>
  </w:p>
  <w:p w:rsidR="00805FBA" w:rsidRDefault="00FC164E" w:rsidP="00602CE2">
    <w:pPr>
      <w:spacing w:after="0" w:line="360" w:lineRule="auto"/>
      <w:jc w:val="center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F17A00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ПРОТИВООБЩЕСТВЕНИ ПРОЯВИ И ПРЕСТЪПЛЕНИЯ НА МАЛОЛЕТНИТЕ </w:t>
    </w:r>
  </w:p>
  <w:p w:rsidR="00FC164E" w:rsidRPr="00F17A00" w:rsidRDefault="00805FBA" w:rsidP="00602CE2">
    <w:pPr>
      <w:spacing w:after="0" w:line="360" w:lineRule="auto"/>
      <w:jc w:val="center"/>
      <w:rPr>
        <w:rFonts w:ascii="Verdana" w:eastAsia="Times New Roman" w:hAnsi="Verdana" w:cs="Times New Roman"/>
        <w:b/>
        <w:bCs/>
        <w:noProof/>
        <w:sz w:val="20"/>
        <w:szCs w:val="20"/>
        <w:lang w:val="bg-BG" w:eastAsia="bg-BG"/>
      </w:rPr>
    </w:pPr>
    <w:r w:rsidRPr="00DD11CB">
      <w:rPr>
        <w:rFonts w:ascii="Verdana" w:hAnsi="Verdana"/>
        <w:noProof/>
        <w:sz w:val="20"/>
        <w:lang w:val="bg-BG" w:eastAsia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-228600</wp:posOffset>
              </wp:positionH>
              <wp:positionV relativeFrom="paragraph">
                <wp:posOffset>261620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3FB144" id="Graphic 7" o:spid="_x0000_s1026" style="position:absolute;margin-left:-18pt;margin-top:20.6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FC164E" w:rsidRPr="00F17A00">
      <w:rPr>
        <w:rFonts w:ascii="Verdana" w:eastAsia="Times New Roman" w:hAnsi="Verdana" w:cs="Times New Roman"/>
        <w:b/>
        <w:bCs/>
        <w:sz w:val="20"/>
        <w:szCs w:val="20"/>
        <w:lang w:val="bg-BG"/>
      </w:rPr>
      <w:t>И</w:t>
    </w:r>
    <w:r>
      <w:rPr>
        <w:rFonts w:ascii="Verdana" w:eastAsia="Times New Roman" w:hAnsi="Verdana" w:cs="Times New Roman"/>
        <w:b/>
        <w:bCs/>
        <w:noProof/>
        <w:sz w:val="20"/>
        <w:szCs w:val="20"/>
        <w:lang w:eastAsia="bg-BG"/>
      </w:rPr>
      <w:t xml:space="preserve"> </w:t>
    </w:r>
    <w:r w:rsidR="00FC164E" w:rsidRPr="00F17A00">
      <w:rPr>
        <w:rFonts w:ascii="Verdana" w:eastAsia="Times New Roman" w:hAnsi="Verdana" w:cs="Times New Roman"/>
        <w:b/>
        <w:bCs/>
        <w:noProof/>
        <w:sz w:val="20"/>
        <w:szCs w:val="20"/>
        <w:lang w:val="bg-BG" w:eastAsia="bg-BG"/>
      </w:rPr>
      <w:t>НЕПЪЛНОЛЕТНИТЕ ЛИЦА ПРЕЗ 2024 ГОДИНА</w:t>
    </w:r>
  </w:p>
  <w:p w:rsidR="00FC164E" w:rsidRDefault="00FC164E" w:rsidP="00FC164E">
    <w:pPr>
      <w:spacing w:after="0" w:line="240" w:lineRule="auto"/>
      <w:rPr>
        <w:rFonts w:ascii="Verdana" w:eastAsia="Calibri" w:hAnsi="Verdana" w:cs="Times New Roman"/>
        <w:b/>
        <w:sz w:val="20"/>
        <w:szCs w:val="20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spacing w:after="0"/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spacing w:after="0"/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A26"/>
    <w:multiLevelType w:val="hybridMultilevel"/>
    <w:tmpl w:val="04020B92"/>
    <w:lvl w:ilvl="0" w:tplc="E0DAAE12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043CF6"/>
    <w:multiLevelType w:val="hybridMultilevel"/>
    <w:tmpl w:val="1F16FC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75AD3"/>
    <w:multiLevelType w:val="hybridMultilevel"/>
    <w:tmpl w:val="A7F25F9C"/>
    <w:lvl w:ilvl="0" w:tplc="0FF4826A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3E2930"/>
    <w:multiLevelType w:val="hybridMultilevel"/>
    <w:tmpl w:val="61DA633E"/>
    <w:lvl w:ilvl="0" w:tplc="CFEE998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45498"/>
    <w:rsid w:val="000605CD"/>
    <w:rsid w:val="000A0173"/>
    <w:rsid w:val="000C67A4"/>
    <w:rsid w:val="000D15EF"/>
    <w:rsid w:val="000D746C"/>
    <w:rsid w:val="000E41DC"/>
    <w:rsid w:val="001115ED"/>
    <w:rsid w:val="001167BF"/>
    <w:rsid w:val="001246E2"/>
    <w:rsid w:val="001271AB"/>
    <w:rsid w:val="00155F24"/>
    <w:rsid w:val="00157794"/>
    <w:rsid w:val="00170791"/>
    <w:rsid w:val="00217F62"/>
    <w:rsid w:val="002252D7"/>
    <w:rsid w:val="00262786"/>
    <w:rsid w:val="00266E6D"/>
    <w:rsid w:val="002830D6"/>
    <w:rsid w:val="002A1508"/>
    <w:rsid w:val="002B06EA"/>
    <w:rsid w:val="002B0E58"/>
    <w:rsid w:val="002D6C81"/>
    <w:rsid w:val="002E672B"/>
    <w:rsid w:val="003030E9"/>
    <w:rsid w:val="00313E2E"/>
    <w:rsid w:val="00317438"/>
    <w:rsid w:val="003256C6"/>
    <w:rsid w:val="00331329"/>
    <w:rsid w:val="00364F27"/>
    <w:rsid w:val="003A7DA3"/>
    <w:rsid w:val="003C1099"/>
    <w:rsid w:val="003E75E1"/>
    <w:rsid w:val="003F0798"/>
    <w:rsid w:val="00400351"/>
    <w:rsid w:val="00422DC4"/>
    <w:rsid w:val="00435AF2"/>
    <w:rsid w:val="00441C0B"/>
    <w:rsid w:val="004420B0"/>
    <w:rsid w:val="00442546"/>
    <w:rsid w:val="00456DB5"/>
    <w:rsid w:val="00465619"/>
    <w:rsid w:val="00474DF3"/>
    <w:rsid w:val="00481C7A"/>
    <w:rsid w:val="00485689"/>
    <w:rsid w:val="00486C35"/>
    <w:rsid w:val="00496661"/>
    <w:rsid w:val="004A098F"/>
    <w:rsid w:val="004A22AB"/>
    <w:rsid w:val="004A6E32"/>
    <w:rsid w:val="004B5A23"/>
    <w:rsid w:val="004C7322"/>
    <w:rsid w:val="004E238D"/>
    <w:rsid w:val="004F0A94"/>
    <w:rsid w:val="004F5D53"/>
    <w:rsid w:val="005044B9"/>
    <w:rsid w:val="00512605"/>
    <w:rsid w:val="00513E50"/>
    <w:rsid w:val="0051450C"/>
    <w:rsid w:val="00525463"/>
    <w:rsid w:val="0052654C"/>
    <w:rsid w:val="00533135"/>
    <w:rsid w:val="00561976"/>
    <w:rsid w:val="005A49EE"/>
    <w:rsid w:val="005B64C4"/>
    <w:rsid w:val="005D2ADA"/>
    <w:rsid w:val="005D5EBB"/>
    <w:rsid w:val="005E47CE"/>
    <w:rsid w:val="00602CE2"/>
    <w:rsid w:val="00603652"/>
    <w:rsid w:val="00611E33"/>
    <w:rsid w:val="00642C89"/>
    <w:rsid w:val="00643044"/>
    <w:rsid w:val="00646700"/>
    <w:rsid w:val="006468AA"/>
    <w:rsid w:val="00685AB0"/>
    <w:rsid w:val="006A0024"/>
    <w:rsid w:val="006A4C8F"/>
    <w:rsid w:val="006C00EF"/>
    <w:rsid w:val="006C03D4"/>
    <w:rsid w:val="006C1381"/>
    <w:rsid w:val="00704751"/>
    <w:rsid w:val="007102D4"/>
    <w:rsid w:val="0073402D"/>
    <w:rsid w:val="0073757E"/>
    <w:rsid w:val="0074055F"/>
    <w:rsid w:val="00742FE0"/>
    <w:rsid w:val="00760CBF"/>
    <w:rsid w:val="00785427"/>
    <w:rsid w:val="007B0427"/>
    <w:rsid w:val="007C321C"/>
    <w:rsid w:val="00805FBA"/>
    <w:rsid w:val="0080675A"/>
    <w:rsid w:val="00845E7E"/>
    <w:rsid w:val="008902F8"/>
    <w:rsid w:val="00897274"/>
    <w:rsid w:val="008C27DD"/>
    <w:rsid w:val="008C362D"/>
    <w:rsid w:val="008E671E"/>
    <w:rsid w:val="008E6CB5"/>
    <w:rsid w:val="009144AF"/>
    <w:rsid w:val="0091793F"/>
    <w:rsid w:val="00924288"/>
    <w:rsid w:val="00966F3D"/>
    <w:rsid w:val="009757F5"/>
    <w:rsid w:val="009B4212"/>
    <w:rsid w:val="009B53BB"/>
    <w:rsid w:val="009E546E"/>
    <w:rsid w:val="009E657F"/>
    <w:rsid w:val="00A148C7"/>
    <w:rsid w:val="00A84A5F"/>
    <w:rsid w:val="00AA1601"/>
    <w:rsid w:val="00AA501B"/>
    <w:rsid w:val="00AA5E0D"/>
    <w:rsid w:val="00AA72D7"/>
    <w:rsid w:val="00AD3610"/>
    <w:rsid w:val="00AF4A2F"/>
    <w:rsid w:val="00B01601"/>
    <w:rsid w:val="00B5178D"/>
    <w:rsid w:val="00B5642A"/>
    <w:rsid w:val="00B63639"/>
    <w:rsid w:val="00B94A3C"/>
    <w:rsid w:val="00BA5E21"/>
    <w:rsid w:val="00BF4441"/>
    <w:rsid w:val="00C441EB"/>
    <w:rsid w:val="00C510CC"/>
    <w:rsid w:val="00C65B74"/>
    <w:rsid w:val="00C932B0"/>
    <w:rsid w:val="00CA4489"/>
    <w:rsid w:val="00CA5CE6"/>
    <w:rsid w:val="00CC3305"/>
    <w:rsid w:val="00CC62A1"/>
    <w:rsid w:val="00CD48BE"/>
    <w:rsid w:val="00CE4F0D"/>
    <w:rsid w:val="00CF2EB2"/>
    <w:rsid w:val="00D079C2"/>
    <w:rsid w:val="00D1306D"/>
    <w:rsid w:val="00D2088E"/>
    <w:rsid w:val="00D46212"/>
    <w:rsid w:val="00D54019"/>
    <w:rsid w:val="00D60CD2"/>
    <w:rsid w:val="00D64142"/>
    <w:rsid w:val="00D740BC"/>
    <w:rsid w:val="00D83F28"/>
    <w:rsid w:val="00D84BBD"/>
    <w:rsid w:val="00D933A5"/>
    <w:rsid w:val="00DA62D2"/>
    <w:rsid w:val="00DE0181"/>
    <w:rsid w:val="00E313B6"/>
    <w:rsid w:val="00E950BD"/>
    <w:rsid w:val="00EA7F9D"/>
    <w:rsid w:val="00EC4DD7"/>
    <w:rsid w:val="00EC58C8"/>
    <w:rsid w:val="00EF4FC0"/>
    <w:rsid w:val="00EF796A"/>
    <w:rsid w:val="00F17A00"/>
    <w:rsid w:val="00F17ED5"/>
    <w:rsid w:val="00F21C04"/>
    <w:rsid w:val="00F251B5"/>
    <w:rsid w:val="00F42024"/>
    <w:rsid w:val="00F51306"/>
    <w:rsid w:val="00F71F6B"/>
    <w:rsid w:val="00F76D42"/>
    <w:rsid w:val="00F94C2C"/>
    <w:rsid w:val="00FC164E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F61DF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7A00"/>
    <w:pPr>
      <w:spacing w:after="0" w:line="240" w:lineRule="auto"/>
    </w:pPr>
    <w:rPr>
      <w:rFonts w:ascii="Μοντέρνα" w:eastAsia="Μοντέρνα" w:hAnsi="Μοντέρνα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A00"/>
    <w:rPr>
      <w:rFonts w:ascii="Μοντέρνα" w:eastAsia="Μοντέρνα" w:hAnsi="Μοντέρνα" w:cs="Times New Roman"/>
      <w:sz w:val="20"/>
      <w:szCs w:val="20"/>
      <w:lang w:val="en-GB" w:eastAsia="x-none"/>
    </w:rPr>
  </w:style>
  <w:style w:type="character" w:styleId="FootnoteReference">
    <w:name w:val="footnote reference"/>
    <w:semiHidden/>
    <w:rsid w:val="00F17A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0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BFE6-5E18-4883-B4FA-AB60DE38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Tsvetelina Lilova</cp:lastModifiedBy>
  <cp:revision>7</cp:revision>
  <cp:lastPrinted>2025-04-23T07:04:00Z</cp:lastPrinted>
  <dcterms:created xsi:type="dcterms:W3CDTF">2025-04-17T14:32:00Z</dcterms:created>
  <dcterms:modified xsi:type="dcterms:W3CDTF">2025-04-23T07:16:00Z</dcterms:modified>
</cp:coreProperties>
</file>