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BFD" w:rsidRDefault="007C3BFD" w:rsidP="007C3BFD">
      <w:pPr>
        <w:keepNext/>
        <w:spacing w:after="0" w:line="360" w:lineRule="auto"/>
        <w:jc w:val="center"/>
        <w:outlineLvl w:val="2"/>
        <w:rPr>
          <w:rFonts w:ascii="Verdana" w:eastAsia="Calibri" w:hAnsi="Verdana"/>
          <w:b/>
          <w:sz w:val="20"/>
          <w:szCs w:val="24"/>
        </w:rPr>
      </w:pPr>
    </w:p>
    <w:p w:rsidR="007C3BFD" w:rsidRDefault="007C3BFD" w:rsidP="007C3BFD">
      <w:pPr>
        <w:keepNext/>
        <w:spacing w:after="0" w:line="360" w:lineRule="auto"/>
        <w:jc w:val="center"/>
        <w:outlineLvl w:val="2"/>
        <w:rPr>
          <w:rFonts w:ascii="Verdana" w:eastAsia="Calibri" w:hAnsi="Verdana"/>
          <w:b/>
          <w:sz w:val="20"/>
          <w:szCs w:val="24"/>
        </w:rPr>
      </w:pPr>
    </w:p>
    <w:p w:rsidR="007C3BFD" w:rsidRDefault="007C3BFD" w:rsidP="007C3BFD">
      <w:pPr>
        <w:keepNext/>
        <w:spacing w:after="0" w:line="360" w:lineRule="auto"/>
        <w:jc w:val="center"/>
        <w:outlineLvl w:val="2"/>
        <w:rPr>
          <w:rFonts w:ascii="Verdana" w:eastAsia="Calibri" w:hAnsi="Verdana"/>
          <w:b/>
          <w:sz w:val="20"/>
          <w:szCs w:val="24"/>
        </w:rPr>
      </w:pPr>
      <w:bookmarkStart w:id="0" w:name="_GoBack"/>
      <w:bookmarkEnd w:id="0"/>
    </w:p>
    <w:p w:rsidR="007C3BFD" w:rsidRPr="00156B9E" w:rsidRDefault="007C3BFD" w:rsidP="007C3BFD">
      <w:pPr>
        <w:keepNext/>
        <w:spacing w:after="0" w:line="360" w:lineRule="auto"/>
        <w:jc w:val="center"/>
        <w:outlineLvl w:val="2"/>
        <w:rPr>
          <w:rFonts w:ascii="Verdana" w:eastAsia="Calibri" w:hAnsi="Verdana"/>
          <w:b/>
          <w:sz w:val="20"/>
          <w:szCs w:val="24"/>
          <w:lang w:val="ru-RU"/>
        </w:rPr>
      </w:pPr>
      <w:r w:rsidRPr="00156B9E">
        <w:rPr>
          <w:rFonts w:ascii="Verdana" w:eastAsia="Calibri" w:hAnsi="Verdana"/>
          <w:b/>
          <w:sz w:val="20"/>
          <w:szCs w:val="24"/>
        </w:rPr>
        <w:t>ДЕФИЦИТ И ДЪЛГ НА СЕКТОР „ДЪРЖАВНО УПРАВЛЕНИЕ</w:t>
      </w:r>
      <w:proofErr w:type="gramStart"/>
      <w:r w:rsidRPr="00156B9E">
        <w:rPr>
          <w:rFonts w:ascii="Verdana" w:eastAsia="Calibri" w:hAnsi="Verdana"/>
          <w:b/>
          <w:sz w:val="20"/>
          <w:szCs w:val="24"/>
        </w:rPr>
        <w:t>“</w:t>
      </w:r>
      <w:r w:rsidRPr="00156B9E">
        <w:rPr>
          <w:rFonts w:ascii="Verdana" w:eastAsia="Calibri" w:hAnsi="Verdana"/>
          <w:b/>
          <w:sz w:val="20"/>
          <w:szCs w:val="24"/>
          <w:lang w:val="ru-RU"/>
        </w:rPr>
        <w:t xml:space="preserve"> В</w:t>
      </w:r>
      <w:proofErr w:type="gramEnd"/>
      <w:r w:rsidRPr="00156B9E">
        <w:rPr>
          <w:rFonts w:ascii="Verdana" w:eastAsia="Calibri" w:hAnsi="Verdana"/>
          <w:b/>
          <w:sz w:val="20"/>
          <w:szCs w:val="24"/>
          <w:lang w:val="ru-RU"/>
        </w:rPr>
        <w:t xml:space="preserve"> </w:t>
      </w:r>
    </w:p>
    <w:p w:rsidR="007C3BFD" w:rsidRPr="00156B9E" w:rsidRDefault="007C3BFD" w:rsidP="007C3BFD">
      <w:pPr>
        <w:keepNext/>
        <w:spacing w:after="0" w:line="360" w:lineRule="auto"/>
        <w:jc w:val="center"/>
        <w:outlineLvl w:val="2"/>
        <w:rPr>
          <w:rFonts w:ascii="Verdana" w:eastAsia="Calibri" w:hAnsi="Verdana"/>
          <w:b/>
          <w:sz w:val="20"/>
          <w:szCs w:val="24"/>
        </w:rPr>
      </w:pPr>
      <w:r w:rsidRPr="00156B9E">
        <w:rPr>
          <w:rFonts w:ascii="Verdana" w:eastAsia="Calibri" w:hAnsi="Verdana"/>
          <w:b/>
          <w:sz w:val="20"/>
          <w:szCs w:val="24"/>
          <w:lang w:val="ru-RU"/>
        </w:rPr>
        <w:t>РЕПУБЛИКА БЪЛГАРИЯ</w:t>
      </w:r>
      <w:r w:rsidRPr="00156B9E">
        <w:rPr>
          <w:rFonts w:ascii="Verdana" w:eastAsia="Calibri" w:hAnsi="Verdana"/>
          <w:b/>
          <w:sz w:val="20"/>
          <w:szCs w:val="24"/>
        </w:rPr>
        <w:t xml:space="preserve"> ПРЕЗ 20</w:t>
      </w:r>
      <w:r>
        <w:rPr>
          <w:rFonts w:ascii="Verdana" w:eastAsia="Calibri" w:hAnsi="Verdana"/>
          <w:b/>
          <w:sz w:val="20"/>
          <w:szCs w:val="24"/>
        </w:rPr>
        <w:t>24</w:t>
      </w:r>
      <w:r w:rsidRPr="00156B9E">
        <w:rPr>
          <w:rFonts w:ascii="Verdana" w:eastAsia="Calibri" w:hAnsi="Verdana"/>
          <w:b/>
          <w:sz w:val="20"/>
          <w:szCs w:val="24"/>
        </w:rPr>
        <w:t xml:space="preserve"> ГОДИНА</w:t>
      </w:r>
    </w:p>
    <w:p w:rsidR="007C3BFD" w:rsidRPr="002A4503" w:rsidRDefault="007C3BFD" w:rsidP="007C3BFD">
      <w:pPr>
        <w:tabs>
          <w:tab w:val="left" w:pos="8966"/>
        </w:tabs>
        <w:spacing w:line="360" w:lineRule="auto"/>
        <w:jc w:val="center"/>
        <w:rPr>
          <w:rFonts w:ascii="Times New Roman" w:eastAsia="Calibri" w:hAnsi="Times New Roman"/>
          <w:b/>
          <w:szCs w:val="24"/>
        </w:rPr>
      </w:pPr>
      <w:r w:rsidRPr="00156B9E">
        <w:rPr>
          <w:rFonts w:ascii="Verdana" w:eastAsia="Calibri" w:hAnsi="Verdana"/>
          <w:b/>
          <w:sz w:val="20"/>
          <w:szCs w:val="24"/>
          <w:lang w:val="ru-RU"/>
        </w:rPr>
        <w:t>(</w:t>
      </w:r>
      <w:r>
        <w:rPr>
          <w:rFonts w:ascii="Verdana" w:eastAsia="Calibri" w:hAnsi="Verdana"/>
          <w:b/>
          <w:sz w:val="20"/>
          <w:szCs w:val="24"/>
        </w:rPr>
        <w:t>ПРЕДВАРИТЕЛНИ</w:t>
      </w:r>
      <w:r w:rsidRPr="00156B9E">
        <w:rPr>
          <w:rFonts w:ascii="Verdana" w:eastAsia="Calibri" w:hAnsi="Verdana"/>
          <w:b/>
          <w:sz w:val="20"/>
          <w:szCs w:val="24"/>
        </w:rPr>
        <w:t xml:space="preserve"> ДАННИ)</w:t>
      </w:r>
    </w:p>
    <w:p w:rsidR="007C3BFD" w:rsidRPr="00451550" w:rsidRDefault="007C3BFD" w:rsidP="007C3BFD">
      <w:pPr>
        <w:spacing w:after="0" w:line="360" w:lineRule="auto"/>
        <w:ind w:firstLine="567"/>
        <w:jc w:val="both"/>
        <w:rPr>
          <w:rFonts w:ascii="Verdana" w:eastAsia="Calibri" w:hAnsi="Verdana"/>
          <w:sz w:val="20"/>
          <w:szCs w:val="24"/>
          <w:lang w:val="bg-BG"/>
        </w:rPr>
      </w:pPr>
      <w:r w:rsidRPr="00451550">
        <w:rPr>
          <w:rFonts w:ascii="Verdana" w:eastAsia="Calibri" w:hAnsi="Verdana"/>
          <w:sz w:val="20"/>
          <w:szCs w:val="24"/>
          <w:lang w:val="bg-BG"/>
        </w:rPr>
        <w:t>През 2024 г. институционален сектор „Държавно управление“ отчита бюджетен дефицит от -6 158 млн. лв., или -3.0% от брутния вътрешен продукт (БВП), по предварителни данни на Националния статистически институт. Дефицитът в подсектор „Централно управление“ е в размер на -5 277 млн. лв., или -2.6% от БВП. Подсектор „Местно управление“ е реализирал дефицит от -810 млн. лв., а подсектор „</w:t>
      </w:r>
      <w:proofErr w:type="spellStart"/>
      <w:r w:rsidRPr="00451550">
        <w:rPr>
          <w:rFonts w:ascii="Verdana" w:eastAsia="Calibri" w:hAnsi="Verdana"/>
          <w:sz w:val="20"/>
          <w:szCs w:val="24"/>
          <w:lang w:val="bg-BG"/>
        </w:rPr>
        <w:t>Социалноосигурителни</w:t>
      </w:r>
      <w:proofErr w:type="spellEnd"/>
      <w:r w:rsidRPr="00451550">
        <w:rPr>
          <w:rFonts w:ascii="Verdana" w:eastAsia="Calibri" w:hAnsi="Verdana"/>
          <w:sz w:val="20"/>
          <w:szCs w:val="24"/>
          <w:lang w:val="bg-BG"/>
        </w:rPr>
        <w:t xml:space="preserve"> фондове“ е реализирал дефицит от -71 млн. лева.</w:t>
      </w:r>
    </w:p>
    <w:p w:rsidR="007C3BFD" w:rsidRPr="00451550" w:rsidRDefault="007C3BFD" w:rsidP="007C3BFD">
      <w:pPr>
        <w:spacing w:after="0" w:line="360" w:lineRule="auto"/>
        <w:ind w:firstLine="567"/>
        <w:jc w:val="both"/>
        <w:rPr>
          <w:rFonts w:ascii="Times New Roman" w:eastAsia="Calibri" w:hAnsi="Times New Roman"/>
          <w:szCs w:val="24"/>
          <w:lang w:val="bg-BG"/>
        </w:rPr>
      </w:pPr>
      <w:r w:rsidRPr="00451550">
        <w:rPr>
          <w:rFonts w:ascii="Verdana" w:eastAsia="Calibri" w:hAnsi="Verdana"/>
          <w:sz w:val="20"/>
          <w:szCs w:val="24"/>
          <w:lang w:val="bg-BG"/>
        </w:rPr>
        <w:t>Дългът на Република България за 2024 г. е в размер на 48 846 млн. лв., или 24.1% от БВП.</w:t>
      </w:r>
    </w:p>
    <w:p w:rsidR="007C3BFD" w:rsidRPr="00451550" w:rsidRDefault="007C3BFD" w:rsidP="007C3BFD">
      <w:pPr>
        <w:numPr>
          <w:ilvl w:val="0"/>
          <w:numId w:val="1"/>
        </w:numPr>
        <w:spacing w:before="160" w:line="360" w:lineRule="auto"/>
        <w:ind w:left="0" w:firstLine="0"/>
        <w:jc w:val="center"/>
        <w:rPr>
          <w:rFonts w:ascii="Times New Roman" w:eastAsia="Calibri" w:hAnsi="Times New Roman"/>
          <w:b/>
          <w:szCs w:val="24"/>
          <w:lang w:val="bg-BG"/>
        </w:rPr>
      </w:pPr>
      <w:r w:rsidRPr="00451550">
        <w:rPr>
          <w:rFonts w:ascii="Verdana" w:eastAsia="Calibri" w:hAnsi="Verdana"/>
          <w:b/>
          <w:sz w:val="20"/>
          <w:szCs w:val="24"/>
          <w:lang w:val="bg-BG"/>
        </w:rPr>
        <w:t>БВП, държавен дефицит (-)/излишък (+) и дълг на Република България</w:t>
      </w:r>
    </w:p>
    <w:tbl>
      <w:tblPr>
        <w:tblW w:w="893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134"/>
        <w:gridCol w:w="1134"/>
        <w:gridCol w:w="992"/>
        <w:gridCol w:w="992"/>
      </w:tblGrid>
      <w:tr w:rsidR="007C3BFD" w:rsidRPr="00451550" w:rsidTr="00FA60C9">
        <w:trPr>
          <w:trHeight w:val="4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BFD" w:rsidRPr="00451550" w:rsidRDefault="007C3BFD" w:rsidP="00FA60C9">
            <w:pPr>
              <w:rPr>
                <w:rFonts w:ascii="Verdana" w:eastAsia="Calibri" w:hAnsi="Verdana"/>
                <w:b/>
                <w:bCs/>
                <w:sz w:val="16"/>
                <w:lang w:val="bg-BG"/>
              </w:rPr>
            </w:pPr>
            <w:r w:rsidRPr="00451550">
              <w:rPr>
                <w:rFonts w:ascii="Verdana" w:eastAsia="Calibri" w:hAnsi="Verdana"/>
                <w:b/>
                <w:bCs/>
                <w:sz w:val="16"/>
                <w:lang w:val="bg-BG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BFD" w:rsidRPr="00451550" w:rsidRDefault="007C3BFD" w:rsidP="00FA60C9">
            <w:pPr>
              <w:jc w:val="right"/>
              <w:rPr>
                <w:rFonts w:ascii="Verdana" w:eastAsia="Calibri" w:hAnsi="Verdana"/>
                <w:b/>
                <w:bCs/>
                <w:sz w:val="16"/>
                <w:lang w:val="bg-BG"/>
              </w:rPr>
            </w:pPr>
            <w:r w:rsidRPr="00451550">
              <w:rPr>
                <w:rFonts w:ascii="Verdana" w:eastAsia="Calibri" w:hAnsi="Verdana"/>
                <w:b/>
                <w:bCs/>
                <w:sz w:val="16"/>
                <w:lang w:val="bg-BG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BFD" w:rsidRPr="00451550" w:rsidRDefault="007C3BFD" w:rsidP="00FA60C9">
            <w:pPr>
              <w:jc w:val="right"/>
              <w:rPr>
                <w:rFonts w:ascii="Verdana" w:eastAsia="Calibri" w:hAnsi="Verdana"/>
                <w:b/>
                <w:bCs/>
                <w:sz w:val="16"/>
                <w:lang w:val="bg-BG"/>
              </w:rPr>
            </w:pPr>
            <w:r w:rsidRPr="00451550">
              <w:rPr>
                <w:rFonts w:ascii="Verdana" w:eastAsia="Calibri" w:hAnsi="Verdana"/>
                <w:b/>
                <w:bCs/>
                <w:sz w:val="16"/>
                <w:lang w:val="bg-BG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BFD" w:rsidRPr="00451550" w:rsidRDefault="007C3BFD" w:rsidP="00FA60C9">
            <w:pPr>
              <w:jc w:val="right"/>
              <w:rPr>
                <w:rFonts w:ascii="Verdana" w:eastAsia="Calibri" w:hAnsi="Verdana"/>
                <w:b/>
                <w:bCs/>
                <w:sz w:val="16"/>
                <w:lang w:val="bg-BG"/>
              </w:rPr>
            </w:pPr>
            <w:r w:rsidRPr="00451550">
              <w:rPr>
                <w:rFonts w:ascii="Verdana" w:eastAsia="Calibri" w:hAnsi="Verdana"/>
                <w:b/>
                <w:bCs/>
                <w:sz w:val="16"/>
                <w:lang w:val="bg-BG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BFD" w:rsidRPr="00451550" w:rsidRDefault="007C3BFD" w:rsidP="00FA60C9">
            <w:pPr>
              <w:jc w:val="right"/>
              <w:rPr>
                <w:rFonts w:ascii="Verdana" w:eastAsia="Calibri" w:hAnsi="Verdana"/>
                <w:b/>
                <w:bCs/>
                <w:sz w:val="16"/>
                <w:lang w:val="bg-BG"/>
              </w:rPr>
            </w:pPr>
            <w:r w:rsidRPr="00451550">
              <w:rPr>
                <w:rFonts w:ascii="Verdana" w:eastAsia="Calibri" w:hAnsi="Verdana"/>
                <w:b/>
                <w:bCs/>
                <w:sz w:val="16"/>
                <w:lang w:val="bg-BG"/>
              </w:rPr>
              <w:t>2024</w:t>
            </w:r>
          </w:p>
        </w:tc>
      </w:tr>
      <w:tr w:rsidR="007C3BFD" w:rsidRPr="00451550" w:rsidTr="00FA60C9">
        <w:trPr>
          <w:trHeight w:val="50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BFD" w:rsidRPr="00451550" w:rsidRDefault="007C3BFD" w:rsidP="00FA60C9">
            <w:pPr>
              <w:rPr>
                <w:rFonts w:ascii="Verdana" w:eastAsia="Calibri" w:hAnsi="Verdana"/>
                <w:sz w:val="16"/>
                <w:lang w:val="bg-BG"/>
              </w:rPr>
            </w:pPr>
            <w:r w:rsidRPr="00451550">
              <w:rPr>
                <w:rFonts w:ascii="Verdana" w:eastAsia="Calibri" w:hAnsi="Verdana"/>
                <w:sz w:val="16"/>
                <w:lang w:val="bg-BG"/>
              </w:rPr>
              <w:t>БВП - млн. лв.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BFD" w:rsidRPr="00451550" w:rsidRDefault="007C3BFD" w:rsidP="00FA60C9">
            <w:pPr>
              <w:jc w:val="right"/>
              <w:rPr>
                <w:rFonts w:ascii="Verdana" w:eastAsia="Times New Roman" w:hAnsi="Verdana"/>
                <w:sz w:val="16"/>
                <w:lang w:val="bg-BG"/>
              </w:rPr>
            </w:pPr>
            <w:r w:rsidRPr="00451550">
              <w:rPr>
                <w:rFonts w:ascii="Verdana" w:eastAsia="Times New Roman" w:hAnsi="Verdana"/>
                <w:sz w:val="16"/>
                <w:lang w:val="bg-BG"/>
              </w:rPr>
              <w:t>139 602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BFD" w:rsidRPr="00451550" w:rsidRDefault="007C3BFD" w:rsidP="00FA60C9">
            <w:pPr>
              <w:jc w:val="right"/>
              <w:rPr>
                <w:rFonts w:ascii="Verdana" w:eastAsia="Times New Roman" w:hAnsi="Verdana"/>
                <w:sz w:val="16"/>
                <w:lang w:val="bg-BG"/>
              </w:rPr>
            </w:pPr>
            <w:r w:rsidRPr="00451550">
              <w:rPr>
                <w:rFonts w:ascii="Verdana" w:eastAsia="Times New Roman" w:hAnsi="Verdana"/>
                <w:sz w:val="16"/>
                <w:lang w:val="bg-BG"/>
              </w:rPr>
              <w:t>168 360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BFD" w:rsidRPr="00451550" w:rsidRDefault="007C3BFD" w:rsidP="00FA60C9">
            <w:pPr>
              <w:jc w:val="right"/>
              <w:rPr>
                <w:rFonts w:ascii="Verdana" w:eastAsia="Times New Roman" w:hAnsi="Verdana"/>
                <w:sz w:val="16"/>
                <w:lang w:val="bg-BG"/>
              </w:rPr>
            </w:pPr>
            <w:r w:rsidRPr="00451550">
              <w:rPr>
                <w:rFonts w:ascii="Verdana" w:eastAsia="Times New Roman" w:hAnsi="Verdana"/>
                <w:sz w:val="16"/>
                <w:lang w:val="bg-BG"/>
              </w:rPr>
              <w:t>185 233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BFD" w:rsidRPr="00451550" w:rsidRDefault="007C3BFD" w:rsidP="00FA60C9">
            <w:pPr>
              <w:jc w:val="right"/>
              <w:rPr>
                <w:rFonts w:ascii="Verdana" w:eastAsia="Times New Roman" w:hAnsi="Verdana"/>
                <w:sz w:val="16"/>
                <w:lang w:val="bg-BG"/>
              </w:rPr>
            </w:pPr>
            <w:r w:rsidRPr="00451550">
              <w:rPr>
                <w:rFonts w:ascii="Verdana" w:eastAsia="Times New Roman" w:hAnsi="Verdana"/>
                <w:sz w:val="16"/>
                <w:lang w:val="bg-BG"/>
              </w:rPr>
              <w:t>202 861</w:t>
            </w:r>
          </w:p>
        </w:tc>
      </w:tr>
      <w:tr w:rsidR="007C3BFD" w:rsidRPr="00451550" w:rsidTr="00FA60C9">
        <w:trPr>
          <w:trHeight w:val="4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BFD" w:rsidRPr="00451550" w:rsidRDefault="007C3BFD" w:rsidP="00FA60C9">
            <w:pPr>
              <w:rPr>
                <w:rFonts w:ascii="Verdana" w:eastAsia="Calibri" w:hAnsi="Verdana"/>
                <w:sz w:val="16"/>
                <w:lang w:val="bg-BG"/>
              </w:rPr>
            </w:pPr>
            <w:r w:rsidRPr="00451550">
              <w:rPr>
                <w:rFonts w:ascii="Verdana" w:eastAsia="Calibri" w:hAnsi="Verdana"/>
                <w:sz w:val="16"/>
                <w:lang w:val="bg-BG"/>
              </w:rPr>
              <w:t>Дефицит (-)/излишък (+) на сектор „Държавно управление“ - млн. лв.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BFD" w:rsidRPr="00451550" w:rsidRDefault="007C3BFD" w:rsidP="00FA60C9">
            <w:pPr>
              <w:jc w:val="right"/>
              <w:rPr>
                <w:rFonts w:ascii="Verdana" w:eastAsia="Times New Roman" w:hAnsi="Verdana"/>
                <w:sz w:val="16"/>
                <w:lang w:val="bg-BG"/>
              </w:rPr>
            </w:pPr>
            <w:r w:rsidRPr="00451550">
              <w:rPr>
                <w:rFonts w:ascii="Verdana" w:eastAsia="Times New Roman" w:hAnsi="Verdana"/>
                <w:sz w:val="16"/>
                <w:lang w:val="bg-BG"/>
              </w:rPr>
              <w:t>-5 535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BFD" w:rsidRPr="00451550" w:rsidRDefault="007C3BFD" w:rsidP="00FA60C9">
            <w:pPr>
              <w:jc w:val="right"/>
              <w:rPr>
                <w:rFonts w:ascii="Verdana" w:eastAsia="Times New Roman" w:hAnsi="Verdana"/>
                <w:sz w:val="16"/>
                <w:lang w:val="bg-BG"/>
              </w:rPr>
            </w:pPr>
            <w:r w:rsidRPr="00451550">
              <w:rPr>
                <w:rFonts w:ascii="Verdana" w:eastAsia="Times New Roman" w:hAnsi="Verdana"/>
                <w:sz w:val="16"/>
                <w:lang w:val="bg-BG"/>
              </w:rPr>
              <w:t>-4 968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BFD" w:rsidRPr="00451550" w:rsidRDefault="007C3BFD" w:rsidP="00FA60C9">
            <w:pPr>
              <w:jc w:val="right"/>
              <w:rPr>
                <w:rFonts w:ascii="Verdana" w:eastAsia="Times New Roman" w:hAnsi="Verdana"/>
                <w:sz w:val="16"/>
                <w:lang w:val="bg-BG"/>
              </w:rPr>
            </w:pPr>
            <w:r w:rsidRPr="00451550">
              <w:rPr>
                <w:rFonts w:ascii="Verdana" w:eastAsia="Times New Roman" w:hAnsi="Verdana"/>
                <w:sz w:val="16"/>
                <w:lang w:val="bg-BG"/>
              </w:rPr>
              <w:t>-3 678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BFD" w:rsidRPr="00451550" w:rsidRDefault="007C3BFD" w:rsidP="00FA60C9">
            <w:pPr>
              <w:jc w:val="right"/>
              <w:rPr>
                <w:rFonts w:ascii="Verdana" w:eastAsia="Times New Roman" w:hAnsi="Verdana"/>
                <w:sz w:val="16"/>
                <w:lang w:val="bg-BG"/>
              </w:rPr>
            </w:pPr>
            <w:r w:rsidRPr="00451550">
              <w:rPr>
                <w:rFonts w:ascii="Verdana" w:eastAsia="Times New Roman" w:hAnsi="Verdana"/>
                <w:sz w:val="16"/>
                <w:lang w:val="bg-BG"/>
              </w:rPr>
              <w:t>-6 158</w:t>
            </w:r>
          </w:p>
        </w:tc>
      </w:tr>
      <w:tr w:rsidR="007C3BFD" w:rsidRPr="00451550" w:rsidTr="00FA60C9">
        <w:trPr>
          <w:trHeight w:val="47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BFD" w:rsidRPr="00451550" w:rsidRDefault="007C3BFD" w:rsidP="00FA60C9">
            <w:pPr>
              <w:rPr>
                <w:rFonts w:ascii="Verdana" w:eastAsia="Calibri" w:hAnsi="Verdana"/>
                <w:sz w:val="16"/>
                <w:lang w:val="bg-BG"/>
              </w:rPr>
            </w:pPr>
            <w:r w:rsidRPr="00451550">
              <w:rPr>
                <w:rFonts w:ascii="Verdana" w:eastAsia="Calibri" w:hAnsi="Verdana"/>
                <w:sz w:val="16"/>
                <w:lang w:val="bg-BG"/>
              </w:rPr>
              <w:t>Дефицит (-)/излишък (+) на сектор „Държавно управление“ - % от БВП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BFD" w:rsidRPr="00451550" w:rsidRDefault="007C3BFD" w:rsidP="00FA60C9">
            <w:pPr>
              <w:jc w:val="right"/>
              <w:rPr>
                <w:rFonts w:ascii="Verdana" w:eastAsia="Times New Roman" w:hAnsi="Verdana"/>
                <w:sz w:val="16"/>
                <w:lang w:val="bg-BG"/>
              </w:rPr>
            </w:pPr>
            <w:r w:rsidRPr="00451550">
              <w:rPr>
                <w:rFonts w:ascii="Verdana" w:eastAsia="Times New Roman" w:hAnsi="Verdana"/>
                <w:sz w:val="16"/>
                <w:lang w:val="bg-BG"/>
              </w:rPr>
              <w:t>-4.0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BFD" w:rsidRPr="00451550" w:rsidRDefault="007C3BFD" w:rsidP="00FA60C9">
            <w:pPr>
              <w:jc w:val="right"/>
              <w:rPr>
                <w:rFonts w:ascii="Verdana" w:eastAsia="Times New Roman" w:hAnsi="Verdana"/>
                <w:sz w:val="16"/>
                <w:lang w:val="bg-BG"/>
              </w:rPr>
            </w:pPr>
            <w:r w:rsidRPr="00451550">
              <w:rPr>
                <w:rFonts w:ascii="Verdana" w:eastAsia="Times New Roman" w:hAnsi="Verdana"/>
                <w:sz w:val="16"/>
                <w:lang w:val="bg-BG"/>
              </w:rPr>
              <w:t>-3.0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BFD" w:rsidRPr="00451550" w:rsidRDefault="007C3BFD" w:rsidP="00FA60C9">
            <w:pPr>
              <w:jc w:val="right"/>
              <w:rPr>
                <w:rFonts w:ascii="Verdana" w:eastAsia="Times New Roman" w:hAnsi="Verdana"/>
                <w:sz w:val="16"/>
                <w:lang w:val="bg-BG"/>
              </w:rPr>
            </w:pPr>
            <w:r w:rsidRPr="00451550">
              <w:rPr>
                <w:rFonts w:ascii="Verdana" w:eastAsia="Times New Roman" w:hAnsi="Verdana"/>
                <w:sz w:val="16"/>
                <w:lang w:val="bg-BG"/>
              </w:rPr>
              <w:t>-2.0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BFD" w:rsidRPr="00451550" w:rsidRDefault="007C3BFD" w:rsidP="00FA60C9">
            <w:pPr>
              <w:jc w:val="right"/>
              <w:rPr>
                <w:rFonts w:ascii="Verdana" w:eastAsia="Times New Roman" w:hAnsi="Verdana"/>
                <w:sz w:val="16"/>
                <w:lang w:val="bg-BG"/>
              </w:rPr>
            </w:pPr>
            <w:r w:rsidRPr="00451550">
              <w:rPr>
                <w:rFonts w:ascii="Verdana" w:eastAsia="Times New Roman" w:hAnsi="Verdana"/>
                <w:sz w:val="16"/>
                <w:lang w:val="bg-BG"/>
              </w:rPr>
              <w:t>-3.0</w:t>
            </w:r>
          </w:p>
        </w:tc>
      </w:tr>
      <w:tr w:rsidR="007C3BFD" w:rsidRPr="00451550" w:rsidTr="00FA60C9">
        <w:trPr>
          <w:trHeight w:val="4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BFD" w:rsidRPr="00451550" w:rsidRDefault="007C3BFD" w:rsidP="00FA60C9">
            <w:pPr>
              <w:rPr>
                <w:rFonts w:ascii="Verdana" w:eastAsia="Calibri" w:hAnsi="Verdana"/>
                <w:sz w:val="16"/>
                <w:lang w:val="bg-BG"/>
              </w:rPr>
            </w:pPr>
            <w:r w:rsidRPr="00451550">
              <w:rPr>
                <w:rFonts w:ascii="Verdana" w:eastAsia="Calibri" w:hAnsi="Verdana"/>
                <w:sz w:val="16"/>
                <w:lang w:val="bg-BG"/>
              </w:rPr>
              <w:t>Дълг на сектор „Държавно управление“ - млн. лв.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BFD" w:rsidRPr="00451550" w:rsidRDefault="007C3BFD" w:rsidP="00FA60C9">
            <w:pPr>
              <w:jc w:val="right"/>
              <w:rPr>
                <w:rFonts w:ascii="Verdana" w:eastAsia="Times New Roman" w:hAnsi="Verdana"/>
                <w:sz w:val="16"/>
                <w:lang w:val="bg-BG"/>
              </w:rPr>
            </w:pPr>
            <w:r w:rsidRPr="00451550">
              <w:rPr>
                <w:rFonts w:ascii="Verdana" w:eastAsia="Times New Roman" w:hAnsi="Verdana"/>
                <w:sz w:val="16"/>
                <w:lang w:val="bg-BG"/>
              </w:rPr>
              <w:t>33 279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BFD" w:rsidRPr="00451550" w:rsidRDefault="007C3BFD" w:rsidP="00FA60C9">
            <w:pPr>
              <w:jc w:val="right"/>
              <w:rPr>
                <w:rFonts w:ascii="Verdana" w:eastAsia="Times New Roman" w:hAnsi="Verdana"/>
                <w:sz w:val="16"/>
                <w:lang w:val="bg-BG"/>
              </w:rPr>
            </w:pPr>
            <w:r w:rsidRPr="00451550">
              <w:rPr>
                <w:rFonts w:ascii="Verdana" w:eastAsia="Times New Roman" w:hAnsi="Verdana"/>
                <w:sz w:val="16"/>
                <w:lang w:val="bg-BG"/>
              </w:rPr>
              <w:t>37 855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BFD" w:rsidRPr="00451550" w:rsidRDefault="007C3BFD" w:rsidP="00FA60C9">
            <w:pPr>
              <w:jc w:val="right"/>
              <w:rPr>
                <w:rFonts w:ascii="Verdana" w:eastAsia="Times New Roman" w:hAnsi="Verdana"/>
                <w:sz w:val="16"/>
                <w:lang w:val="bg-BG"/>
              </w:rPr>
            </w:pPr>
            <w:r w:rsidRPr="00451550">
              <w:rPr>
                <w:rFonts w:ascii="Verdana" w:eastAsia="Times New Roman" w:hAnsi="Verdana"/>
                <w:sz w:val="16"/>
                <w:lang w:val="bg-BG"/>
              </w:rPr>
              <w:t>42 393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BFD" w:rsidRPr="00451550" w:rsidRDefault="007C3BFD" w:rsidP="00FA60C9">
            <w:pPr>
              <w:jc w:val="right"/>
              <w:rPr>
                <w:rFonts w:ascii="Verdana" w:eastAsia="Times New Roman" w:hAnsi="Verdana"/>
                <w:sz w:val="16"/>
                <w:lang w:val="bg-BG"/>
              </w:rPr>
            </w:pPr>
            <w:r w:rsidRPr="00451550">
              <w:rPr>
                <w:rFonts w:ascii="Verdana" w:eastAsia="Times New Roman" w:hAnsi="Verdana"/>
                <w:sz w:val="16"/>
                <w:lang w:val="bg-BG"/>
              </w:rPr>
              <w:t>48 846</w:t>
            </w:r>
          </w:p>
        </w:tc>
      </w:tr>
      <w:tr w:rsidR="007C3BFD" w:rsidRPr="00451550" w:rsidTr="00FA60C9">
        <w:trPr>
          <w:trHeight w:val="4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BFD" w:rsidRPr="00451550" w:rsidRDefault="007C3BFD" w:rsidP="00FA60C9">
            <w:pPr>
              <w:rPr>
                <w:rFonts w:ascii="Verdana" w:eastAsia="Calibri" w:hAnsi="Verdana"/>
                <w:sz w:val="16"/>
                <w:lang w:val="bg-BG"/>
              </w:rPr>
            </w:pPr>
            <w:r w:rsidRPr="00451550">
              <w:rPr>
                <w:rFonts w:ascii="Verdana" w:eastAsia="Calibri" w:hAnsi="Verdana"/>
                <w:sz w:val="16"/>
                <w:lang w:val="bg-BG"/>
              </w:rPr>
              <w:t>Дълг на сектор „Държавно управление“ - % от БВП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BFD" w:rsidRPr="00451550" w:rsidRDefault="007C3BFD" w:rsidP="00FA60C9">
            <w:pPr>
              <w:jc w:val="right"/>
              <w:rPr>
                <w:rFonts w:ascii="Verdana" w:eastAsia="Times New Roman" w:hAnsi="Verdana"/>
                <w:sz w:val="16"/>
                <w:lang w:val="bg-BG"/>
              </w:rPr>
            </w:pPr>
            <w:r w:rsidRPr="00451550">
              <w:rPr>
                <w:rFonts w:ascii="Verdana" w:eastAsia="Times New Roman" w:hAnsi="Verdana"/>
                <w:sz w:val="16"/>
                <w:lang w:val="bg-BG"/>
              </w:rPr>
              <w:t>23.8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BFD" w:rsidRPr="00451550" w:rsidRDefault="007C3BFD" w:rsidP="00FA60C9">
            <w:pPr>
              <w:jc w:val="right"/>
              <w:rPr>
                <w:rFonts w:ascii="Verdana" w:eastAsia="Times New Roman" w:hAnsi="Verdana"/>
                <w:sz w:val="16"/>
                <w:lang w:val="bg-BG"/>
              </w:rPr>
            </w:pPr>
            <w:r w:rsidRPr="00451550">
              <w:rPr>
                <w:rFonts w:ascii="Verdana" w:eastAsia="Times New Roman" w:hAnsi="Verdana"/>
                <w:sz w:val="16"/>
                <w:lang w:val="bg-BG"/>
              </w:rPr>
              <w:t>22.5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BFD" w:rsidRPr="00451550" w:rsidRDefault="007C3BFD" w:rsidP="00FA60C9">
            <w:pPr>
              <w:jc w:val="right"/>
              <w:rPr>
                <w:rFonts w:ascii="Verdana" w:eastAsia="Times New Roman" w:hAnsi="Verdana"/>
                <w:sz w:val="16"/>
                <w:lang w:val="bg-BG"/>
              </w:rPr>
            </w:pPr>
            <w:r w:rsidRPr="00451550">
              <w:rPr>
                <w:rFonts w:ascii="Verdana" w:eastAsia="Times New Roman" w:hAnsi="Verdana"/>
                <w:sz w:val="16"/>
                <w:lang w:val="bg-BG"/>
              </w:rPr>
              <w:t>22.9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BFD" w:rsidRPr="00451550" w:rsidRDefault="007C3BFD" w:rsidP="00FA60C9">
            <w:pPr>
              <w:jc w:val="right"/>
              <w:rPr>
                <w:rFonts w:ascii="Verdana" w:eastAsia="Times New Roman" w:hAnsi="Verdana"/>
                <w:sz w:val="16"/>
                <w:lang w:val="bg-BG"/>
              </w:rPr>
            </w:pPr>
            <w:r w:rsidRPr="00451550">
              <w:rPr>
                <w:rFonts w:ascii="Verdana" w:eastAsia="Times New Roman" w:hAnsi="Verdana"/>
                <w:sz w:val="16"/>
                <w:lang w:val="bg-BG"/>
              </w:rPr>
              <w:t>24.1</w:t>
            </w:r>
          </w:p>
        </w:tc>
      </w:tr>
    </w:tbl>
    <w:p w:rsidR="007C3BFD" w:rsidRPr="00451550" w:rsidRDefault="007C3BFD" w:rsidP="007C3BFD">
      <w:pPr>
        <w:autoSpaceDE w:val="0"/>
        <w:autoSpaceDN w:val="0"/>
        <w:adjustRightInd w:val="0"/>
        <w:spacing w:before="240" w:after="0" w:line="360" w:lineRule="auto"/>
        <w:ind w:firstLine="567"/>
        <w:jc w:val="both"/>
        <w:rPr>
          <w:rFonts w:ascii="Times New Roman" w:eastAsia="Calibri" w:hAnsi="Times New Roman"/>
          <w:szCs w:val="24"/>
          <w:lang w:val="bg-BG"/>
        </w:rPr>
      </w:pPr>
      <w:r w:rsidRPr="00451550">
        <w:rPr>
          <w:rFonts w:ascii="Verdana" w:eastAsia="Calibri" w:hAnsi="Verdana"/>
          <w:sz w:val="20"/>
          <w:szCs w:val="24"/>
          <w:lang w:val="bg-BG"/>
        </w:rPr>
        <w:t>Статистическата информация за дейността на институционален сектор „Държавно управление“, включително за дълга, дефицита и излишъка, се изготвя по хармонизирана методология на ЕС</w:t>
      </w:r>
      <w:r w:rsidRPr="00451550">
        <w:rPr>
          <w:rFonts w:ascii="Verdana" w:eastAsia="Calibri" w:hAnsi="Verdana"/>
          <w:sz w:val="20"/>
          <w:szCs w:val="24"/>
          <w:vertAlign w:val="superscript"/>
          <w:lang w:val="bg-BG"/>
        </w:rPr>
        <w:footnoteReference w:id="1"/>
      </w:r>
      <w:r w:rsidRPr="00451550">
        <w:rPr>
          <w:rFonts w:ascii="Verdana" w:eastAsia="Calibri" w:hAnsi="Verdana"/>
          <w:sz w:val="20"/>
          <w:szCs w:val="24"/>
          <w:lang w:val="bg-BG"/>
        </w:rPr>
        <w:t>. В изпълнение на Регламент на Съвета № 479/2009 за прилагане на Протокола за процедурата при прекомерен дефицит всяка държава членка предоставя на Евростат (ЕК) предварителни данни за дефицита/излишъка и дълга за отчетната година към 31.03. на следващата година и окончателни данни - към 30.09. на следващата година.</w:t>
      </w:r>
      <w:r w:rsidRPr="00451550">
        <w:rPr>
          <w:rFonts w:ascii="Times New Roman" w:eastAsia="Calibri" w:hAnsi="Times New Roman"/>
          <w:szCs w:val="24"/>
          <w:lang w:val="bg-BG"/>
        </w:rPr>
        <w:t xml:space="preserve"> </w:t>
      </w:r>
    </w:p>
    <w:p w:rsidR="007C3BFD" w:rsidRPr="00451550" w:rsidRDefault="007C3BFD" w:rsidP="007C3BFD">
      <w:pPr>
        <w:autoSpaceDE w:val="0"/>
        <w:autoSpaceDN w:val="0"/>
        <w:adjustRightInd w:val="0"/>
        <w:spacing w:before="240" w:after="0" w:line="360" w:lineRule="auto"/>
        <w:ind w:firstLine="567"/>
        <w:jc w:val="both"/>
        <w:rPr>
          <w:rFonts w:eastAsia="Times New Roman"/>
          <w:lang w:val="bg-BG"/>
        </w:rPr>
      </w:pPr>
    </w:p>
    <w:p w:rsidR="007C3BFD" w:rsidRDefault="007C3BFD" w:rsidP="007C3BFD">
      <w:pPr>
        <w:spacing w:before="160" w:line="360" w:lineRule="auto"/>
        <w:rPr>
          <w:rFonts w:ascii="Verdana" w:hAnsi="Verdana"/>
          <w:b/>
          <w:sz w:val="20"/>
        </w:rPr>
      </w:pPr>
    </w:p>
    <w:p w:rsidR="007C3BFD" w:rsidRDefault="007C3BFD" w:rsidP="007C3BFD">
      <w:pPr>
        <w:spacing w:before="160" w:line="360" w:lineRule="auto"/>
        <w:jc w:val="center"/>
        <w:rPr>
          <w:rFonts w:ascii="Verdana" w:hAnsi="Verdana"/>
          <w:b/>
          <w:sz w:val="20"/>
        </w:rPr>
      </w:pPr>
    </w:p>
    <w:p w:rsidR="007C3BFD" w:rsidRPr="00451550" w:rsidRDefault="007C3BFD" w:rsidP="007C3BFD">
      <w:pPr>
        <w:spacing w:before="160" w:line="360" w:lineRule="auto"/>
        <w:jc w:val="center"/>
        <w:rPr>
          <w:rFonts w:ascii="Times New Roman" w:eastAsia="Calibri" w:hAnsi="Times New Roman"/>
          <w:b/>
          <w:lang w:val="bg-BG"/>
        </w:rPr>
      </w:pPr>
      <w:r w:rsidRPr="00451550">
        <w:rPr>
          <w:rFonts w:ascii="Verdana" w:hAnsi="Verdana"/>
          <w:b/>
          <w:sz w:val="20"/>
          <w:lang w:val="bg-BG"/>
        </w:rPr>
        <w:lastRenderedPageBreak/>
        <w:t xml:space="preserve">Фиг. 1. </w:t>
      </w:r>
      <w:r w:rsidRPr="00451550">
        <w:rPr>
          <w:rFonts w:ascii="Verdana" w:eastAsia="Calibri" w:hAnsi="Verdana"/>
          <w:b/>
          <w:sz w:val="20"/>
          <w:lang w:val="bg-BG"/>
        </w:rPr>
        <w:t xml:space="preserve">Дефицит (-)/излишък (+) на сектор „Държавно управление“ </w:t>
      </w:r>
      <w:r w:rsidRPr="00451550">
        <w:rPr>
          <w:rFonts w:ascii="Verdana" w:eastAsia="Calibri" w:hAnsi="Verdana"/>
          <w:b/>
          <w:sz w:val="20"/>
          <w:lang w:val="bg-BG"/>
        </w:rPr>
        <w:br/>
        <w:t>за периода 2021 - 2024 година</w:t>
      </w:r>
    </w:p>
    <w:p w:rsidR="007C3BFD" w:rsidRDefault="007C3BFD" w:rsidP="007C3BFD">
      <w:pPr>
        <w:tabs>
          <w:tab w:val="right" w:leader="dot" w:pos="3402"/>
        </w:tabs>
        <w:rPr>
          <w:rFonts w:ascii="Calibri" w:hAnsi="Calibri"/>
        </w:rPr>
      </w:pPr>
    </w:p>
    <w:p w:rsidR="007C3BFD" w:rsidRDefault="007C3BFD" w:rsidP="007C3BFD">
      <w:pPr>
        <w:tabs>
          <w:tab w:val="right" w:leader="dot" w:pos="3402"/>
        </w:tabs>
        <w:rPr>
          <w:rFonts w:ascii="Calibri" w:hAnsi="Calibri"/>
        </w:rPr>
      </w:pPr>
      <w:r>
        <w:rPr>
          <w:noProof/>
          <w:lang w:val="bg-BG" w:eastAsia="bg-BG"/>
        </w:rPr>
        <w:drawing>
          <wp:inline distT="0" distB="0" distL="0" distR="0" wp14:anchorId="5F263255" wp14:editId="5765D8C5">
            <wp:extent cx="5588900" cy="2969895"/>
            <wp:effectExtent l="0" t="0" r="0" b="190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C3BFD" w:rsidRDefault="007C3BFD" w:rsidP="007C3BFD">
      <w:pPr>
        <w:tabs>
          <w:tab w:val="right" w:leader="dot" w:pos="3402"/>
        </w:tabs>
        <w:rPr>
          <w:rFonts w:ascii="Calibri" w:hAnsi="Calibri"/>
        </w:rPr>
      </w:pPr>
    </w:p>
    <w:p w:rsidR="00D83F28" w:rsidRPr="00451550" w:rsidRDefault="007C3BFD" w:rsidP="007C3BFD">
      <w:pPr>
        <w:spacing w:before="160" w:line="360" w:lineRule="auto"/>
        <w:jc w:val="center"/>
        <w:rPr>
          <w:rFonts w:ascii="Times New Roman" w:hAnsi="Times New Roman"/>
          <w:b/>
          <w:lang w:val="bg-BG"/>
        </w:rPr>
      </w:pPr>
      <w:r w:rsidRPr="00451550">
        <w:rPr>
          <w:rFonts w:ascii="Verdana" w:hAnsi="Verdana"/>
          <w:b/>
          <w:sz w:val="20"/>
          <w:lang w:val="bg-BG"/>
        </w:rPr>
        <w:t xml:space="preserve">Фиг. 2. Дълг на сектор „Държавно управление“ </w:t>
      </w:r>
      <w:r w:rsidRPr="00451550">
        <w:rPr>
          <w:rFonts w:ascii="Verdana" w:hAnsi="Verdana"/>
          <w:b/>
          <w:sz w:val="20"/>
          <w:lang w:val="bg-BG"/>
        </w:rPr>
        <w:br/>
        <w:t>за периода 2021 - 2024 година</w:t>
      </w:r>
    </w:p>
    <w:p w:rsidR="00D83F28" w:rsidRPr="00F76D42" w:rsidRDefault="007C3BFD" w:rsidP="00304ACE">
      <w:pPr>
        <w:spacing w:after="0" w:line="360" w:lineRule="auto"/>
        <w:ind w:firstLine="567"/>
        <w:jc w:val="both"/>
        <w:rPr>
          <w:rFonts w:ascii="Verdana" w:hAnsi="Verdana"/>
          <w:sz w:val="20"/>
        </w:rPr>
      </w:pPr>
      <w:r>
        <w:rPr>
          <w:noProof/>
          <w:lang w:val="bg-BG" w:eastAsia="bg-BG"/>
        </w:rPr>
        <w:drawing>
          <wp:inline distT="0" distB="0" distL="0" distR="0" wp14:anchorId="53DCCBC6" wp14:editId="58825D7E">
            <wp:extent cx="5370811" cy="3259000"/>
            <wp:effectExtent l="0" t="0" r="1905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D83F28" w:rsidRPr="00F76D42" w:rsidSect="006A4C8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809" w:rsidRDefault="00A65809" w:rsidP="00D83F28">
      <w:pPr>
        <w:spacing w:after="0" w:line="240" w:lineRule="auto"/>
      </w:pPr>
      <w:r>
        <w:separator/>
      </w:r>
    </w:p>
  </w:endnote>
  <w:endnote w:type="continuationSeparator" w:id="0">
    <w:p w:rsidR="00A65809" w:rsidRDefault="00A65809" w:rsidP="00D8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?t???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28" w:rsidRDefault="00D83F28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66849C" wp14:editId="3BFA1E07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359D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466849C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D359D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55EC5B8" wp14:editId="1FD3C8C9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9619D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1ACA8F8D" wp14:editId="67F1E777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6DF4B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F76D42"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28" w:rsidRDefault="00D83F28" w:rsidP="00D83F28">
    <w:pPr>
      <w:pStyle w:val="Footer"/>
      <w:tabs>
        <w:tab w:val="clear" w:pos="4536"/>
        <w:tab w:val="clear" w:pos="9072"/>
      </w:tabs>
    </w:pPr>
    <w:r w:rsidRPr="00A7142A">
      <w:rPr>
        <w:rFonts w:ascii="Verdana" w:hAnsi="Verdana"/>
        <w:noProof/>
        <w:color w:val="31312F"/>
        <w:spacing w:val="-2"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901B221" wp14:editId="311B783A">
              <wp:simplePos x="0" y="0"/>
              <wp:positionH relativeFrom="rightMargin">
                <wp:posOffset>62534</wp:posOffset>
              </wp:positionH>
              <wp:positionV relativeFrom="paragraph">
                <wp:posOffset>27940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359D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901B221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28" type="#_x0000_t176" style="position:absolute;margin-left:4.9pt;margin-top:2.2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kJ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" filled="f" fillcolor="#5c83b4" stroked="f" strokecolor="#737373">
              <v:textbox>
                <w:txbxContent>
                  <w:p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D359D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3C88979" wp14:editId="2F4EA84C">
              <wp:simplePos x="0" y="0"/>
              <wp:positionH relativeFrom="margin">
                <wp:posOffset>5911850</wp:posOffset>
              </wp:positionH>
              <wp:positionV relativeFrom="paragraph">
                <wp:posOffset>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933CDB" id="Rectangle 28" o:spid="_x0000_s1026" style="position:absolute;margin-left:465.5pt;margin-top:0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" fillcolor="#a5a5a5 [3206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809" w:rsidRDefault="00A65809" w:rsidP="00D83F28">
      <w:pPr>
        <w:spacing w:after="0" w:line="240" w:lineRule="auto"/>
      </w:pPr>
      <w:r>
        <w:separator/>
      </w:r>
    </w:p>
  </w:footnote>
  <w:footnote w:type="continuationSeparator" w:id="0">
    <w:p w:rsidR="00A65809" w:rsidRDefault="00A65809" w:rsidP="00D83F28">
      <w:pPr>
        <w:spacing w:after="0" w:line="240" w:lineRule="auto"/>
      </w:pPr>
      <w:r>
        <w:continuationSeparator/>
      </w:r>
    </w:p>
  </w:footnote>
  <w:footnote w:id="1">
    <w:p w:rsidR="007C3BFD" w:rsidRPr="00156B9E" w:rsidRDefault="007C3BFD" w:rsidP="007C3BFD">
      <w:pPr>
        <w:pStyle w:val="FootnoteText"/>
        <w:jc w:val="both"/>
        <w:rPr>
          <w:rFonts w:ascii="Verdana" w:hAnsi="Verdana"/>
          <w:sz w:val="16"/>
          <w:lang w:val="bg-BG"/>
        </w:rPr>
      </w:pPr>
      <w:r w:rsidRPr="00156B9E">
        <w:rPr>
          <w:rStyle w:val="FootnoteReference"/>
          <w:rFonts w:ascii="Verdana" w:hAnsi="Verdana"/>
          <w:sz w:val="16"/>
          <w:lang w:val="bg-BG"/>
        </w:rPr>
        <w:footnoteRef/>
      </w:r>
      <w:r w:rsidRPr="00156B9E">
        <w:rPr>
          <w:rFonts w:ascii="Verdana" w:hAnsi="Verdana"/>
          <w:sz w:val="16"/>
          <w:lang w:val="bg-BG"/>
        </w:rPr>
        <w:t xml:space="preserve"> Хармонизираната методология на ЕС е описана в Ръководството за дефицита и дълга на сектор „Държавно </w:t>
      </w:r>
    </w:p>
    <w:p w:rsidR="007C3BFD" w:rsidRPr="0053226B" w:rsidRDefault="007C3BFD" w:rsidP="007C3BFD">
      <w:pPr>
        <w:pStyle w:val="FootnoteText"/>
        <w:jc w:val="both"/>
        <w:rPr>
          <w:lang w:val="bg-BG"/>
        </w:rPr>
      </w:pPr>
      <w:r w:rsidRPr="00156B9E">
        <w:rPr>
          <w:rFonts w:ascii="Verdana" w:hAnsi="Verdana"/>
          <w:sz w:val="16"/>
          <w:lang w:val="bg-BG"/>
        </w:rPr>
        <w:t xml:space="preserve">управление“ и Европейската система за национални и регионални сметки (ЕСС </w:t>
      </w:r>
      <w:r w:rsidRPr="00156B9E">
        <w:rPr>
          <w:rFonts w:ascii="Verdana" w:hAnsi="Verdana"/>
          <w:sz w:val="16"/>
          <w:lang w:val="ru-RU"/>
        </w:rPr>
        <w:t>2010</w:t>
      </w:r>
      <w:r w:rsidRPr="00156B9E">
        <w:rPr>
          <w:rFonts w:ascii="Verdana" w:hAnsi="Verdana"/>
          <w:sz w:val="16"/>
          <w:lang w:val="bg-BG"/>
        </w:rPr>
        <w:t>) на Евростат.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BFD" w:rsidRPr="00FA026E" w:rsidRDefault="007C3BFD" w:rsidP="007C3BFD">
    <w:pPr>
      <w:spacing w:after="0" w:line="360" w:lineRule="auto"/>
      <w:jc w:val="center"/>
      <w:rPr>
        <w:rFonts w:ascii="Verdana" w:eastAsia="Calibri" w:hAnsi="Verdana" w:cs="Times New Roman"/>
        <w:b/>
        <w:sz w:val="20"/>
        <w:szCs w:val="20"/>
      </w:rPr>
    </w:pPr>
    <w:r w:rsidRPr="00FA026E">
      <w:rPr>
        <w:rFonts w:ascii="Verdana" w:eastAsia="Calibri" w:hAnsi="Verdana" w:cs="Times New Roman"/>
        <w:b/>
        <w:sz w:val="20"/>
        <w:szCs w:val="20"/>
      </w:rPr>
      <w:t>ДЕФИЦИТ И ДЪЛГ НА СЕКТОР „ДЪРЖАВНО УПРАВЛЕНИЕ</w:t>
    </w:r>
    <w:proofErr w:type="gramStart"/>
    <w:r w:rsidRPr="00FA026E">
      <w:rPr>
        <w:rFonts w:ascii="Verdana" w:eastAsia="Calibri" w:hAnsi="Verdana" w:cs="Times New Roman"/>
        <w:b/>
        <w:sz w:val="20"/>
        <w:szCs w:val="20"/>
      </w:rPr>
      <w:t>“</w:t>
    </w:r>
    <w:r w:rsidR="00451550">
      <w:rPr>
        <w:rFonts w:ascii="Verdana" w:eastAsia="Calibri" w:hAnsi="Verdana" w:cs="Times New Roman"/>
        <w:b/>
        <w:sz w:val="20"/>
        <w:szCs w:val="20"/>
        <w:lang w:val="bg-BG"/>
      </w:rPr>
      <w:t xml:space="preserve"> </w:t>
    </w:r>
    <w:r w:rsidRPr="00FA026E">
      <w:rPr>
        <w:rFonts w:ascii="Verdana" w:eastAsia="Calibri" w:hAnsi="Verdana" w:cs="Times New Roman"/>
        <w:b/>
        <w:sz w:val="20"/>
        <w:szCs w:val="20"/>
      </w:rPr>
      <w:t>В</w:t>
    </w:r>
    <w:proofErr w:type="gramEnd"/>
    <w:r w:rsidRPr="00FA026E">
      <w:rPr>
        <w:rFonts w:ascii="Verdana" w:eastAsia="Calibri" w:hAnsi="Verdana" w:cs="Times New Roman"/>
        <w:b/>
        <w:sz w:val="20"/>
        <w:szCs w:val="20"/>
      </w:rPr>
      <w:t xml:space="preserve"> </w:t>
    </w:r>
  </w:p>
  <w:p w:rsidR="007C3BFD" w:rsidRPr="00FA026E" w:rsidRDefault="007C3BFD" w:rsidP="007C3BFD">
    <w:pPr>
      <w:spacing w:after="0" w:line="360" w:lineRule="auto"/>
      <w:jc w:val="center"/>
      <w:rPr>
        <w:rFonts w:ascii="Verdana" w:eastAsia="Calibri" w:hAnsi="Verdana" w:cs="Times New Roman"/>
        <w:b/>
        <w:sz w:val="20"/>
        <w:szCs w:val="20"/>
      </w:rPr>
    </w:pPr>
    <w:r>
      <w:rPr>
        <w:rFonts w:ascii="Verdana" w:eastAsia="Calibri" w:hAnsi="Verdana" w:cs="Times New Roman"/>
        <w:b/>
        <w:sz w:val="20"/>
        <w:szCs w:val="20"/>
      </w:rPr>
      <w:t>РЕПУБЛИКА БЪЛГАРИЯ ПРЕЗ 2024</w:t>
    </w:r>
    <w:r w:rsidRPr="00FA026E">
      <w:rPr>
        <w:rFonts w:ascii="Verdana" w:eastAsia="Calibri" w:hAnsi="Verdana" w:cs="Times New Roman"/>
        <w:b/>
        <w:sz w:val="20"/>
        <w:szCs w:val="20"/>
      </w:rPr>
      <w:t xml:space="preserve"> ГОДИНА</w:t>
    </w:r>
  </w:p>
  <w:p w:rsidR="007C3BFD" w:rsidRPr="00101DE0" w:rsidRDefault="00D359D2" w:rsidP="007C3BFD">
    <w:pPr>
      <w:spacing w:after="0" w:line="360" w:lineRule="auto"/>
      <w:jc w:val="center"/>
      <w:rPr>
        <w:rFonts w:ascii="Verdana" w:hAnsi="Verdana"/>
        <w:sz w:val="20"/>
        <w:szCs w:val="20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418661B6" wp14:editId="5B5F693E">
              <wp:simplePos x="0" y="0"/>
              <wp:positionH relativeFrom="margin">
                <wp:align>center</wp:align>
              </wp:positionH>
              <wp:positionV relativeFrom="paragraph">
                <wp:posOffset>311206</wp:posOffset>
              </wp:positionV>
              <wp:extent cx="6066790" cy="1270"/>
              <wp:effectExtent l="0" t="0" r="10160" b="17780"/>
              <wp:wrapTopAndBottom/>
              <wp:docPr id="5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BA6EF4" id="Graphic 7" o:spid="_x0000_s1026" style="position:absolute;margin-left:0;margin-top:24.5pt;width:477.7pt;height:.1pt;z-index:-25163980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4KJwIAAH8EAAAOAAAAZHJzL2Uyb0RvYy54bWysVFFr2zAQfh/sPwi9L47Dlq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rFonts w:ascii="Verdana" w:eastAsia="Calibri" w:hAnsi="Verdana" w:cs="Times New Roman"/>
        <w:b/>
        <w:sz w:val="20"/>
        <w:szCs w:val="20"/>
      </w:rPr>
      <w:t xml:space="preserve"> </w:t>
    </w:r>
    <w:r w:rsidR="007C3BFD">
      <w:rPr>
        <w:rFonts w:ascii="Verdana" w:eastAsia="Calibri" w:hAnsi="Verdana" w:cs="Times New Roman"/>
        <w:b/>
        <w:sz w:val="20"/>
        <w:szCs w:val="20"/>
      </w:rPr>
      <w:t>(ПРЕДВАРИТЕЛНИ</w:t>
    </w:r>
    <w:r w:rsidR="007C3BFD" w:rsidRPr="00FA026E">
      <w:rPr>
        <w:rFonts w:ascii="Verdana" w:eastAsia="Calibri" w:hAnsi="Verdana" w:cs="Times New Roman"/>
        <w:b/>
        <w:sz w:val="20"/>
        <w:szCs w:val="20"/>
      </w:rPr>
      <w:t xml:space="preserve"> ДАННИ)</w:t>
    </w:r>
  </w:p>
  <w:p w:rsidR="00D83F28" w:rsidRPr="007C3BFD" w:rsidRDefault="00D83F28" w:rsidP="007C3B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28" w:rsidRPr="00D83F28" w:rsidRDefault="00F76D42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7C763B4F" wp14:editId="5ECE4740">
          <wp:simplePos x="0" y="0"/>
          <wp:positionH relativeFrom="margin">
            <wp:align>right</wp:align>
          </wp:positionH>
          <wp:positionV relativeFrom="topMargin">
            <wp:posOffset>392154</wp:posOffset>
          </wp:positionV>
          <wp:extent cx="816610" cy="824230"/>
          <wp:effectExtent l="0" t="0" r="2540" b="0"/>
          <wp:wrapSquare wrapText="bothSides"/>
          <wp:docPr id="22" name="Pictur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A903E57" wp14:editId="7AB44C25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3F28" w:rsidRDefault="00D83F28" w:rsidP="00D60CD2">
                          <w:pPr>
                            <w:spacing w:after="0"/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D83F28" w:rsidRPr="00D83F28" w:rsidRDefault="00D83F28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  <w:p w:rsidR="00D83F28" w:rsidRPr="00FD731D" w:rsidRDefault="00D83F28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03E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:rsidR="00D83F28" w:rsidRDefault="00D83F28" w:rsidP="00D60CD2">
                    <w:pPr>
                      <w:spacing w:after="0"/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D83F28" w:rsidRPr="00D83F28" w:rsidRDefault="00D83F28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  <w:t>Национален статистически институт</w:t>
                    </w:r>
                  </w:p>
                  <w:p w:rsidR="00D83F28" w:rsidRPr="00FD731D" w:rsidRDefault="00D83F28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1DA1EA6" wp14:editId="57D6C635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8ACA6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EA5FE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6EAFD537" wp14:editId="6A939F8E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23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6105"/>
    <w:multiLevelType w:val="hybridMultilevel"/>
    <w:tmpl w:val="D50A66A8"/>
    <w:lvl w:ilvl="0" w:tplc="D7A2E482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114AB8"/>
    <w:rsid w:val="001E2EA6"/>
    <w:rsid w:val="00266E6D"/>
    <w:rsid w:val="00304ACE"/>
    <w:rsid w:val="003E75E1"/>
    <w:rsid w:val="00451550"/>
    <w:rsid w:val="005044B9"/>
    <w:rsid w:val="00643044"/>
    <w:rsid w:val="006A4C8F"/>
    <w:rsid w:val="007C3BFD"/>
    <w:rsid w:val="008E6CB5"/>
    <w:rsid w:val="009757F5"/>
    <w:rsid w:val="00A65809"/>
    <w:rsid w:val="00B677A1"/>
    <w:rsid w:val="00D359D2"/>
    <w:rsid w:val="00D60CD2"/>
    <w:rsid w:val="00D83F28"/>
    <w:rsid w:val="00EF4FC0"/>
    <w:rsid w:val="00F7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7C3BFD"/>
    <w:pPr>
      <w:spacing w:after="0" w:line="240" w:lineRule="auto"/>
    </w:pPr>
    <w:rPr>
      <w:rFonts w:ascii="???t???a" w:eastAsia="Times New Roman" w:hAnsi="???t???a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semiHidden/>
    <w:rsid w:val="007C3BFD"/>
    <w:rPr>
      <w:rFonts w:ascii="???t???a" w:eastAsia="Times New Roman" w:hAnsi="???t???a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rsid w:val="007C3BF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npetrova\AppData\Local\Microsoft\Windows\INetCache\Content.Outlook\0EVJB5CR\Deficit%20and%20debt%20graphs_BG_E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npetrova\AppData\Local\Microsoft\Windows\INetCache\Content.Outlook\0EVJB5CR\Deficit%20and%20debt%20graphs_BG_EN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BG!$A$5</c:f>
              <c:strCache>
                <c:ptCount val="1"/>
                <c:pt idx="0">
                  <c:v>Дефицит (-)/излишък (+) на сектор „Държавно управление“ - млн. лв. (лява скала)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BG!$B$3:$E$3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BG!$B$5:$E$5</c:f>
              <c:numCache>
                <c:formatCode>0</c:formatCode>
                <c:ptCount val="4"/>
                <c:pt idx="0">
                  <c:v>-5535</c:v>
                </c:pt>
                <c:pt idx="1">
                  <c:v>-4968</c:v>
                </c:pt>
                <c:pt idx="2">
                  <c:v>-3678</c:v>
                </c:pt>
                <c:pt idx="3">
                  <c:v>-6158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A2-4FB1-A481-50A0860358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805277056"/>
        <c:axId val="1805276224"/>
      </c:barChart>
      <c:lineChart>
        <c:grouping val="standard"/>
        <c:varyColors val="0"/>
        <c:ser>
          <c:idx val="2"/>
          <c:order val="1"/>
          <c:tx>
            <c:strRef>
              <c:f>BG!$A$6</c:f>
              <c:strCache>
                <c:ptCount val="1"/>
                <c:pt idx="0">
                  <c:v>Дефицит (-)/излишък (+) на сектор „Държавно управление“ - % от БВП (дясна скала)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BG!$B$3:$E$3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BG!$B$6:$E$6</c:f>
              <c:numCache>
                <c:formatCode>0.0</c:formatCode>
                <c:ptCount val="4"/>
                <c:pt idx="0">
                  <c:v>-4</c:v>
                </c:pt>
                <c:pt idx="1">
                  <c:v>-3</c:v>
                </c:pt>
                <c:pt idx="2">
                  <c:v>-2</c:v>
                </c:pt>
                <c:pt idx="3">
                  <c:v>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2A2-4FB1-A481-50A0860358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02913936"/>
        <c:axId val="1818012992"/>
      </c:lineChart>
      <c:catAx>
        <c:axId val="1805277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805276224"/>
        <c:crosses val="autoZero"/>
        <c:auto val="1"/>
        <c:lblAlgn val="ctr"/>
        <c:lblOffset val="100"/>
        <c:noMultiLvlLbl val="0"/>
      </c:catAx>
      <c:valAx>
        <c:axId val="1805276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805277056"/>
        <c:crosses val="autoZero"/>
        <c:crossBetween val="between"/>
      </c:valAx>
      <c:valAx>
        <c:axId val="1818012992"/>
        <c:scaling>
          <c:orientation val="minMax"/>
        </c:scaling>
        <c:delete val="0"/>
        <c:axPos val="r"/>
        <c:numFmt formatCode="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802913936"/>
        <c:crosses val="max"/>
        <c:crossBetween val="between"/>
      </c:valAx>
      <c:catAx>
        <c:axId val="18029139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81801299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BG!$A$7</c:f>
              <c:strCache>
                <c:ptCount val="1"/>
                <c:pt idx="0">
                  <c:v>Дълг на сектор „Държавно управление“ - млн. лв. (лява скала)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BG!$B$3:$E$3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BG!$B$7:$E$7</c:f>
              <c:numCache>
                <c:formatCode>0</c:formatCode>
                <c:ptCount val="4"/>
                <c:pt idx="0">
                  <c:v>33279</c:v>
                </c:pt>
                <c:pt idx="1">
                  <c:v>37855</c:v>
                </c:pt>
                <c:pt idx="2">
                  <c:v>42393</c:v>
                </c:pt>
                <c:pt idx="3">
                  <c:v>48846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F9-44AE-BD4E-6A4E1EE834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805277056"/>
        <c:axId val="1805276224"/>
      </c:barChart>
      <c:lineChart>
        <c:grouping val="standard"/>
        <c:varyColors val="0"/>
        <c:ser>
          <c:idx val="2"/>
          <c:order val="1"/>
          <c:tx>
            <c:strRef>
              <c:f>BG!$A$8</c:f>
              <c:strCache>
                <c:ptCount val="1"/>
                <c:pt idx="0">
                  <c:v>Дълг на сектор „Държавно управление“ - % от БВП (дясна скала)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BG!$B$3:$E$3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BG!$B$8:$E$8</c:f>
              <c:numCache>
                <c:formatCode>0.0</c:formatCode>
                <c:ptCount val="4"/>
                <c:pt idx="0">
                  <c:v>23.8</c:v>
                </c:pt>
                <c:pt idx="1">
                  <c:v>22.5</c:v>
                </c:pt>
                <c:pt idx="2">
                  <c:v>22.9</c:v>
                </c:pt>
                <c:pt idx="3">
                  <c:v>24.1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6F9-44AE-BD4E-6A4E1EE834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02913936"/>
        <c:axId val="1818012992"/>
      </c:lineChart>
      <c:catAx>
        <c:axId val="1805277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805276224"/>
        <c:crosses val="autoZero"/>
        <c:auto val="1"/>
        <c:lblAlgn val="ctr"/>
        <c:lblOffset val="100"/>
        <c:noMultiLvlLbl val="0"/>
      </c:catAx>
      <c:valAx>
        <c:axId val="1805276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805277056"/>
        <c:crosses val="autoZero"/>
        <c:crossBetween val="between"/>
      </c:valAx>
      <c:valAx>
        <c:axId val="1818012992"/>
        <c:scaling>
          <c:orientation val="minMax"/>
        </c:scaling>
        <c:delete val="0"/>
        <c:axPos val="r"/>
        <c:numFmt formatCode="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802913936"/>
        <c:crosses val="max"/>
        <c:crossBetween val="between"/>
      </c:valAx>
      <c:catAx>
        <c:axId val="18029139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81801299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5718E-7859-4990-8020-464EC3ED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Dilena Pitova</cp:lastModifiedBy>
  <cp:revision>6</cp:revision>
  <dcterms:created xsi:type="dcterms:W3CDTF">2025-04-17T11:14:00Z</dcterms:created>
  <dcterms:modified xsi:type="dcterms:W3CDTF">2025-04-22T07:09:00Z</dcterms:modified>
</cp:coreProperties>
</file>