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ПРЕДЛОЖЕНИЕ 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90DF3">
        <w:rPr>
          <w:rFonts w:ascii="Times New Roman" w:eastAsia="Calibri" w:hAnsi="Times New Roman" w:cs="Times New Roman"/>
          <w:i/>
          <w:sz w:val="24"/>
          <w:szCs w:val="24"/>
        </w:rPr>
        <w:t>Кмет на Община Русе</w:t>
      </w: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Относно: </w:t>
      </w:r>
      <w:r w:rsidRPr="00B90D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Приемане на Отчет за изпълнението на дейностите, насочени към младежите на 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ериторията на община Русе за 20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24</w:t>
      </w:r>
      <w:r w:rsidRPr="00B90D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година </w:t>
      </w:r>
    </w:p>
    <w:p w:rsidR="00091ECF" w:rsidRPr="00B90DF3" w:rsidRDefault="00091ECF" w:rsidP="00091ECF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изпълнение на чл. 16, ал. 1 от Закона за младежта ежегодно се подготвя и утвърждава общински годишен план за младежта за текущата година. На основание чл. 15, ал. 4 от Закона за младежта, </w:t>
      </w:r>
      <w:r w:rsidRPr="00B90DF3">
        <w:rPr>
          <w:rFonts w:ascii="Times New Roman" w:hAnsi="Times New Roman" w:cs="Times New Roman"/>
          <w:sz w:val="24"/>
          <w:szCs w:val="24"/>
        </w:rPr>
        <w:t xml:space="preserve">ежегодно до 31 януари кметовете на общини предоставят на областните управители и отчет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B90DF3">
        <w:rPr>
          <w:rFonts w:ascii="Times New Roman" w:hAnsi="Times New Roman" w:cs="Times New Roman"/>
          <w:sz w:val="24"/>
          <w:szCs w:val="24"/>
        </w:rPr>
        <w:t xml:space="preserve"> изпълнението на дейностите, насочени към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младежите</w:t>
      </w:r>
      <w:r w:rsidRPr="00B90DF3">
        <w:rPr>
          <w:rFonts w:ascii="Times New Roman" w:hAnsi="Times New Roman" w:cs="Times New Roman"/>
          <w:sz w:val="24"/>
          <w:szCs w:val="24"/>
        </w:rPr>
        <w:t xml:space="preserve"> на територията на общината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B90DF3">
        <w:rPr>
          <w:rFonts w:ascii="Times New Roman" w:hAnsi="Times New Roman" w:cs="Times New Roman"/>
          <w:sz w:val="24"/>
          <w:szCs w:val="24"/>
        </w:rPr>
        <w:t xml:space="preserve"> предходната година. 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ри подготовката на отчета за 2024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са взети предвид данните предоставени от всички институции, имащи отношение към дейностите, заложени в Общински годишен план за младежта за 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:rsidR="00091ECF" w:rsidRPr="00B90DF3" w:rsidRDefault="00091ECF" w:rsidP="00091E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:rsidR="00091ECF" w:rsidRPr="00B90DF3" w:rsidRDefault="00091ECF" w:rsidP="00091EC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Е Н И Е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21, ал. 2, във връзка с чл. 21, ал. 1, т. 23 от Закона за местното самоуправление и местната администрация (ЗМСМА), Общински съвет – Русе,</w:t>
      </w:r>
    </w:p>
    <w:p w:rsidR="00091ECF" w:rsidRPr="00B90DF3" w:rsidRDefault="00091ECF" w:rsidP="00091EC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И</w:t>
      </w:r>
    </w:p>
    <w:p w:rsidR="00091ECF" w:rsidRPr="00B90DF3" w:rsidRDefault="00091ECF" w:rsidP="00091EC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Отчет за изпълнението на дейностите, насочени към младежите на територията на община Русе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 по Плана за изпълнение на Националната стратегия за младежта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  <w:r w:rsidRPr="00B90D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(Приложение №1).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Приложение: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текста.</w:t>
      </w:r>
    </w:p>
    <w:p w:rsidR="00091ECF" w:rsidRPr="00B90DF3" w:rsidRDefault="00091ECF" w:rsidP="0009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Вносител,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E12439" w:rsidRDefault="00CC3546" w:rsidP="00CC354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F17A90" w:rsidRPr="0010516C" w:rsidRDefault="00F17A90" w:rsidP="00F17A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051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ОТЧЕТ НА ДЕЙНОСТИ ЗА ИЗПЪЛНЕНИЕ НА ПОЛИТИКАТА ЗА МЛ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АДИТЕ ХОРА В ОБЩИНА РУСЕ ЗА 2024</w:t>
      </w:r>
      <w:r w:rsidRPr="001051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:rsidR="00F17A90" w:rsidRPr="0010516C" w:rsidRDefault="00F17A90" w:rsidP="00F17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Style w:val="ad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2"/>
        <w:gridCol w:w="3549"/>
        <w:gridCol w:w="1134"/>
        <w:gridCol w:w="1418"/>
        <w:gridCol w:w="1417"/>
        <w:gridCol w:w="2977"/>
      </w:tblGrid>
      <w:tr w:rsidR="00F17A90" w:rsidRPr="001B2774" w:rsidTr="00415638">
        <w:tc>
          <w:tcPr>
            <w:tcW w:w="562" w:type="dxa"/>
            <w:vAlign w:val="center"/>
          </w:tcPr>
          <w:p w:rsidR="00F17A90" w:rsidRPr="001B2774" w:rsidRDefault="00F17A90" w:rsidP="00415638">
            <w:pPr>
              <w:jc w:val="center"/>
              <w:rPr>
                <w:b/>
                <w:sz w:val="20"/>
                <w:szCs w:val="20"/>
              </w:rPr>
            </w:pPr>
            <w:r w:rsidRPr="001B277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49" w:type="dxa"/>
            <w:vAlign w:val="center"/>
          </w:tcPr>
          <w:p w:rsidR="00F17A90" w:rsidRPr="001B2774" w:rsidRDefault="00F17A90" w:rsidP="00415638">
            <w:pPr>
              <w:rPr>
                <w:sz w:val="20"/>
                <w:szCs w:val="20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Дейности</w:t>
            </w:r>
          </w:p>
        </w:tc>
        <w:tc>
          <w:tcPr>
            <w:tcW w:w="1134" w:type="dxa"/>
            <w:vAlign w:val="center"/>
          </w:tcPr>
          <w:p w:rsidR="00F17A90" w:rsidRPr="001B2774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Срок</w:t>
            </w:r>
          </w:p>
          <w:p w:rsidR="00F17A90" w:rsidRPr="001B2774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на </w:t>
            </w:r>
            <w:proofErr w:type="spellStart"/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изпълне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-</w:t>
            </w: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ние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Отговорни </w:t>
            </w:r>
            <w:proofErr w:type="spellStart"/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институ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-</w:t>
            </w:r>
          </w:p>
          <w:p w:rsidR="00F17A90" w:rsidRPr="001B2774" w:rsidRDefault="00F17A90" w:rsidP="00415638">
            <w:pPr>
              <w:jc w:val="center"/>
              <w:rPr>
                <w:sz w:val="20"/>
                <w:szCs w:val="20"/>
              </w:rPr>
            </w:pPr>
            <w:proofErr w:type="spellStart"/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ции</w:t>
            </w:r>
            <w:proofErr w:type="spellEnd"/>
          </w:p>
        </w:tc>
        <w:tc>
          <w:tcPr>
            <w:tcW w:w="1417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Финанси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-</w:t>
            </w:r>
          </w:p>
          <w:p w:rsidR="00F17A90" w:rsidRPr="001B2774" w:rsidRDefault="00F17A90" w:rsidP="00415638">
            <w:pPr>
              <w:jc w:val="center"/>
              <w:rPr>
                <w:sz w:val="20"/>
                <w:szCs w:val="20"/>
              </w:rPr>
            </w:pPr>
            <w:proofErr w:type="spellStart"/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ране</w:t>
            </w:r>
            <w:proofErr w:type="spellEnd"/>
          </w:p>
        </w:tc>
        <w:tc>
          <w:tcPr>
            <w:tcW w:w="2977" w:type="dxa"/>
            <w:vAlign w:val="center"/>
          </w:tcPr>
          <w:p w:rsidR="00F17A90" w:rsidRPr="001B2774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Изпълнение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1. СТРАТЕГИЧЕСКА ОС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1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: </w:t>
            </w:r>
            <w:r w:rsidRPr="0010516C">
              <w:rPr>
                <w:b/>
                <w:sz w:val="22"/>
                <w:szCs w:val="22"/>
              </w:rPr>
              <w:t>НАСЪРЧАВАНЕ НА НЕФОРМАЛНОТО ОБУЧЕНИЕ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1.1.</w:t>
            </w:r>
            <w:r w:rsidRPr="0010516C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ДОСТЪПА ДО НЕФОРМАЛНО ОБУЧЕНИЕ ЗА РАЗВИТИЕ НА КЛЮЧОВИ КОМПЕТЕНТНОСТИ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1.1.1. Подкрепа за неформалното обучение чрез разширяване на мрежата от доставчици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 w:rsidRPr="0010516C">
              <w:t>1.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Развитие на клубове за неформално об</w:t>
            </w:r>
            <w:r>
              <w:rPr>
                <w:rFonts w:eastAsia="Times New Roman"/>
                <w:bCs/>
                <w:color w:val="000000"/>
                <w:lang w:eastAsia="bg-BG"/>
              </w:rPr>
              <w:t>разование – Младежки парламент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, Европейско развитие и младежка мобилност, Доброволец, Екология и спорт.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10516C">
              <w:rPr>
                <w:rFonts w:eastAsia="Times New Roman"/>
                <w:bCs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Работещи клубове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Младежки парламент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, Европейско развитие и младежка мобилност и доброволчески клуб. В клубовете участват 60 младежи.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 w:rsidRPr="0010516C">
              <w:t>2.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Реализиране на събития и нестандартни форми на обучение за интелигентно израстване и социално приобщаване.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10516C">
              <w:rPr>
                <w:rFonts w:eastAsia="Times New Roman"/>
                <w:bCs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Проведени акции, инициирани от МП: - 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обучение на тема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Местна власт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, с участието на 30 младежа; 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- обучения на различни теми с мл. Парламент –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Как да работ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я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с Канва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;</w:t>
            </w:r>
          </w:p>
          <w:p w:rsidR="00F17A90" w:rsidRPr="009651F2" w:rsidRDefault="00F17A90" w:rsidP="00415638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Участие в обучение „Правата на човека“ в Международен младежки център Добрич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- Презентационни умения, и др. 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Проведени 10 обучени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я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, с участието на 150 младежи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 w:rsidRPr="0010516C">
              <w:t>3.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Европейско развитие и младежка мобилност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10516C">
              <w:rPr>
                <w:rFonts w:eastAsia="Times New Roman"/>
                <w:bCs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Проведени:</w:t>
            </w:r>
          </w:p>
          <w:p w:rsidR="00F17A90" w:rsidRPr="0010516C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-15 информационни кампании за програма Еразъм+, ЕКС и Дискавър EU;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Изпратени 45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младежи по програма Еразъм+.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</w:t>
            </w:r>
            <w:r w:rsidRPr="0010516C">
              <w:t xml:space="preserve">. 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4</w:t>
            </w: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Организиране на общински кръг на Национално състезание по безопасност на движението 2023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>
              <w:rPr>
                <w:rFonts w:eastAsia="Times New Roman"/>
                <w:bCs/>
                <w:color w:val="000000"/>
                <w:lang w:eastAsia="bg-BG"/>
              </w:rPr>
              <w:t>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Русе;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РУО -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Съгласно регламента за организиране и провеждане на националното състезание по безопасност на движението по пътищата през учебната 2022/2023 година началникът на РУО утвърждава в своя заповед училището домакин,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lastRenderedPageBreak/>
              <w:t>графика за провеждане на състезанието и комисията за създаване на изпитни материали и проверка и оценка на писмения и практическия тестове (КПОППТ) от общинския кръг на състезанието, а контролът по провеждането на Общинския кръг на състезанието се осъществява от директора на училището домакин. От Община Русе се осигуриха награди на двата училищни отбора от всяка от възрастовите групи.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5</w:t>
            </w:r>
            <w:r w:rsidRPr="0010516C">
              <w:t xml:space="preserve">. 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Организиране на състезание за ученици по конструиране и роботика”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>
              <w:rPr>
                <w:rFonts w:eastAsia="Times New Roman"/>
                <w:bCs/>
                <w:color w:val="000000"/>
                <w:lang w:eastAsia="bg-BG"/>
              </w:rPr>
              <w:t>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B04F65" w:rsidRDefault="00F17A90" w:rsidP="00415638">
            <w:pPr>
              <w:jc w:val="center"/>
            </w:pPr>
            <w:r w:rsidRPr="00B04F65">
              <w:rPr>
                <w:rFonts w:eastAsia="Times New Roman"/>
                <w:bCs/>
                <w:lang w:eastAsia="bg-BG"/>
              </w:rPr>
              <w:t>Бюджет на Община Русе</w:t>
            </w:r>
          </w:p>
        </w:tc>
        <w:tc>
          <w:tcPr>
            <w:tcW w:w="2977" w:type="dxa"/>
          </w:tcPr>
          <w:p w:rsidR="00F17A90" w:rsidRPr="00B04F65" w:rsidRDefault="00F17A90" w:rsidP="00415638">
            <w:pPr>
              <w:jc w:val="both"/>
              <w:rPr>
                <w:rFonts w:eastAsia="Times New Roman"/>
                <w:bCs/>
                <w:lang w:eastAsia="bg-BG"/>
              </w:rPr>
            </w:pPr>
            <w:r w:rsidRPr="00B04F65">
              <w:rPr>
                <w:rFonts w:eastAsia="Times New Roman"/>
                <w:bCs/>
                <w:lang w:eastAsia="bg-BG"/>
              </w:rPr>
              <w:t xml:space="preserve">Състезанието се проведе през месец юни, а участие взеха над 60 ученици от 3-ти и 4-ти клас на училищата в Община Русе. Събитието е продължение на проведените от Русенски университет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B04F65">
              <w:rPr>
                <w:rFonts w:eastAsia="Times New Roman"/>
                <w:bCs/>
                <w:lang w:eastAsia="bg-BG"/>
              </w:rPr>
              <w:t>Ангел Кънчев</w:t>
            </w:r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 xml:space="preserve">  и ЦПЛР–ЦУТНТ-Русе образователни STEM курсове по роботика с микрокомпютрите </w:t>
            </w:r>
            <w:proofErr w:type="spellStart"/>
            <w:r w:rsidRPr="00B04F65">
              <w:rPr>
                <w:rFonts w:eastAsia="Times New Roman"/>
                <w:bCs/>
                <w:lang w:eastAsia="bg-BG"/>
              </w:rPr>
              <w:t>micro:bit</w:t>
            </w:r>
            <w:proofErr w:type="spellEnd"/>
            <w:r w:rsidRPr="00B04F65">
              <w:rPr>
                <w:rFonts w:eastAsia="Times New Roman"/>
                <w:bCs/>
                <w:lang w:eastAsia="bg-BG"/>
              </w:rPr>
              <w:t xml:space="preserve"> и роботизираните платформи </w:t>
            </w:r>
            <w:proofErr w:type="spellStart"/>
            <w:r w:rsidRPr="00B04F65">
              <w:rPr>
                <w:rFonts w:eastAsia="Times New Roman"/>
                <w:bCs/>
                <w:lang w:eastAsia="bg-BG"/>
              </w:rPr>
              <w:t>micro:maqueen</w:t>
            </w:r>
            <w:proofErr w:type="spellEnd"/>
            <w:r w:rsidRPr="00B04F65">
              <w:rPr>
                <w:rFonts w:eastAsia="Times New Roman"/>
                <w:bCs/>
                <w:lang w:eastAsia="bg-BG"/>
              </w:rPr>
              <w:t xml:space="preserve">. Съдържанието на курсовете е целево разработено от преподаватели от катедра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B04F65">
              <w:rPr>
                <w:rFonts w:eastAsia="Times New Roman"/>
                <w:bCs/>
                <w:lang w:eastAsia="bg-BG"/>
              </w:rPr>
              <w:t>Телекомуникации</w:t>
            </w:r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 xml:space="preserve"> на РУ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B04F65">
              <w:rPr>
                <w:rFonts w:eastAsia="Times New Roman"/>
                <w:bCs/>
                <w:lang w:eastAsia="bg-BG"/>
              </w:rPr>
              <w:t>Ангел Кънчев</w:t>
            </w:r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 xml:space="preserve"> и е адаптирано за знанията и уменията на учениците от 3-ти и 4-ти клас. По време на състезанието, отборите премериха сили в три категории –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B04F65">
              <w:rPr>
                <w:rFonts w:eastAsia="Times New Roman"/>
                <w:bCs/>
                <w:lang w:eastAsia="bg-BG"/>
              </w:rPr>
              <w:t>Светлинна щафета</w:t>
            </w:r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 xml:space="preserve">,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B04F65">
              <w:rPr>
                <w:rFonts w:eastAsia="Times New Roman"/>
                <w:bCs/>
                <w:lang w:eastAsia="bg-BG"/>
              </w:rPr>
              <w:t>Следене на линия</w:t>
            </w:r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 xml:space="preserve"> и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proofErr w:type="spellStart"/>
            <w:r w:rsidRPr="00B04F65">
              <w:rPr>
                <w:rFonts w:eastAsia="Times New Roman"/>
                <w:bCs/>
                <w:lang w:eastAsia="bg-BG"/>
              </w:rPr>
              <w:t>Роботанци</w:t>
            </w:r>
            <w:proofErr w:type="spellEnd"/>
            <w:r>
              <w:rPr>
                <w:rFonts w:eastAsia="Times New Roman"/>
                <w:bCs/>
                <w:lang w:eastAsia="bg-BG"/>
              </w:rPr>
              <w:t>“</w:t>
            </w:r>
            <w:r w:rsidRPr="00B04F65">
              <w:rPr>
                <w:rFonts w:eastAsia="Times New Roman"/>
                <w:bCs/>
                <w:lang w:eastAsia="bg-BG"/>
              </w:rPr>
              <w:t>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6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6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Предоставяне на стипендии за Участие в международен космически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lastRenderedPageBreak/>
              <w:t xml:space="preserve">лагер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Space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Camp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Turkey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2024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година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Община Русе, Център за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lastRenderedPageBreak/>
              <w:t>творческо обучение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lastRenderedPageBreak/>
              <w:t>Бюджет на Община Русе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Style w:val="af3"/>
                <w:b w:val="0"/>
                <w:color w:val="000000"/>
              </w:rPr>
              <w:t>Община Русе</w:t>
            </w:r>
            <w:r w:rsidRPr="0010516C">
              <w:rPr>
                <w:color w:val="000000"/>
              </w:rPr>
              <w:t xml:space="preserve"> подкрепя лагера </w:t>
            </w:r>
            <w:r w:rsidRPr="0010516C">
              <w:rPr>
                <w:rFonts w:eastAsia="Times New Roman"/>
                <w:bCs/>
                <w:noProof/>
                <w:color w:val="000000"/>
                <w:lang w:eastAsia="bg-BG"/>
              </w:rPr>
              <w:t>Space Camp Turkey</w:t>
            </w:r>
            <w:r w:rsidRPr="0010516C">
              <w:rPr>
                <w:color w:val="000000"/>
              </w:rPr>
              <w:t xml:space="preserve"> с една стипендия за ученик </w:t>
            </w:r>
            <w:r w:rsidRPr="0010516C">
              <w:rPr>
                <w:color w:val="000000"/>
              </w:rPr>
              <w:lastRenderedPageBreak/>
              <w:t xml:space="preserve">от Русе, като поради събитията в Турция </w:t>
            </w:r>
            <w:r>
              <w:rPr>
                <w:color w:val="000000"/>
              </w:rPr>
              <w:t xml:space="preserve">и получено писмо от организаторите за отмяна на резервациите в лагера поради „Невъзможност за изпълнение“, </w:t>
            </w:r>
            <w:r w:rsidRPr="0010516C">
              <w:rPr>
                <w:color w:val="000000"/>
              </w:rPr>
              <w:t xml:space="preserve">заминаването на спечелилите стипендии участници е отложено.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Всеки участник, награден с пълна или частична стипендия за блестящо представяне в конкурса, запазва своята стипендия за предстоящото издание.</w:t>
            </w:r>
          </w:p>
        </w:tc>
      </w:tr>
      <w:tr w:rsidR="00F17A90" w:rsidRPr="0010516C" w:rsidTr="00415638">
        <w:tc>
          <w:tcPr>
            <w:tcW w:w="11057" w:type="dxa"/>
            <w:gridSpan w:val="6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1.1.2. Насърчаване на участието на младите хора в неформално обучение и неформално учене</w:t>
            </w:r>
          </w:p>
        </w:tc>
      </w:tr>
      <w:tr w:rsidR="00F17A90" w:rsidRPr="0010516C" w:rsidTr="00415638">
        <w:trPr>
          <w:trHeight w:val="406"/>
        </w:trPr>
        <w:tc>
          <w:tcPr>
            <w:tcW w:w="562" w:type="dxa"/>
            <w:vAlign w:val="center"/>
          </w:tcPr>
          <w:p w:rsidR="00F17A90" w:rsidRPr="0010516C" w:rsidRDefault="00F17A90" w:rsidP="00415638">
            <w:r>
              <w:t>7.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color w:val="000000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t xml:space="preserve">Насърчаване активността и участието на младите хора в програмите </w:t>
            </w:r>
            <w:r>
              <w:t>„</w:t>
            </w:r>
            <w:r w:rsidRPr="0010516C">
              <w:t>Еразъм</w:t>
            </w:r>
            <w:r>
              <w:t>“</w:t>
            </w:r>
            <w:r w:rsidRPr="0010516C">
              <w:t xml:space="preserve"> и </w:t>
            </w:r>
            <w:r>
              <w:t>„</w:t>
            </w:r>
            <w:r w:rsidRPr="0010516C">
              <w:t>Европейски корпус за солидарност</w:t>
            </w:r>
            <w: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Реализирани множество програми: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Организиране на информационни кампании в училища за популяризиране на програма Еразъм и ЕКС;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Реализиране на европейска ампания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Европейска седмица на младежта“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през месец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април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,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която тази година беше насочена към насърчаване на младите хора да участват в изборите за Европейски парламент.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Реализиране на европейска ампания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Time to move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през месец октомври, като информация за възможности за участие в младежки програми получиха 200 младежи от Русе.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8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Осигуряване на възможности за стаж и </w:t>
            </w:r>
            <w:proofErr w:type="spellStart"/>
            <w:r w:rsidRPr="0010516C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в различни институции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Осигурено доброволчество в ОМД;</w:t>
            </w:r>
          </w:p>
          <w:p w:rsidR="00F17A90" w:rsidRPr="0010516C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Детски градини, старчески 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дом, приют за безстопанствени животни, НПО, център Милосърдие, спортни събития и др.;</w:t>
            </w:r>
          </w:p>
          <w:p w:rsidR="00F17A90" w:rsidRPr="0010516C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lastRenderedPageBreak/>
              <w:t>- Участие на 200 доброволеца в различни кампании</w:t>
            </w:r>
          </w:p>
        </w:tc>
      </w:tr>
      <w:tr w:rsidR="00F17A90" w:rsidRPr="0010516C" w:rsidTr="00415638">
        <w:tc>
          <w:tcPr>
            <w:tcW w:w="562" w:type="dxa"/>
          </w:tcPr>
          <w:p w:rsidR="00F17A90" w:rsidRPr="009651F2" w:rsidRDefault="00F17A90" w:rsidP="00415638">
            <w:r>
              <w:lastRenderedPageBreak/>
              <w:t>9.</w:t>
            </w:r>
          </w:p>
        </w:tc>
        <w:tc>
          <w:tcPr>
            <w:tcW w:w="3549" w:type="dxa"/>
          </w:tcPr>
          <w:p w:rsidR="00F17A90" w:rsidRPr="009651F2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9651F2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9651F2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Участие на млади доброволци в общоградски събития</w:t>
            </w:r>
            <w:r w:rsidRPr="009651F2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</w:tcPr>
          <w:p w:rsidR="00F17A90" w:rsidRPr="0018794D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8794D">
              <w:rPr>
                <w:rFonts w:eastAsia="Times New Roman"/>
                <w:bCs/>
                <w:color w:val="000000"/>
                <w:lang w:eastAsia="bg-BG"/>
              </w:rPr>
              <w:t>2024 г.</w:t>
            </w:r>
          </w:p>
        </w:tc>
        <w:tc>
          <w:tcPr>
            <w:tcW w:w="1418" w:type="dxa"/>
          </w:tcPr>
          <w:p w:rsidR="00F17A90" w:rsidRPr="0018794D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8794D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</w:tcPr>
          <w:p w:rsidR="00F17A90" w:rsidRPr="0018794D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8794D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9651F2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lang w:eastAsia="bg-BG"/>
              </w:rPr>
            </w:pPr>
            <w:r w:rsidRPr="0018794D"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доброволчески труд на на млади доброволци по време на следните събития: Отбелязване на 3ти март, Фестивал на драконовите лодки, Фестивал на торта „Гараш“, </w:t>
            </w:r>
            <w:r>
              <w:rPr>
                <w:rFonts w:eastAsia="Times New Roman"/>
                <w:bCs/>
                <w:noProof/>
                <w:lang w:val="en-US" w:eastAsia="bg-BG"/>
              </w:rPr>
              <w:t>Green Rock Fest,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Трансграничен пробег Гюргево – Русе, Коледно надиграване и други.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1.2.</w:t>
            </w:r>
            <w:r w:rsidRPr="0010516C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КАЧЕСТВОТО НА НЕФОРМАЛНО ОБУЧЕНИЕ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1.2.1. Създаване на инструменти за валидиране и разпознаване на умения, придобити в рамките на неформално обучение, </w:t>
            </w:r>
            <w:proofErr w:type="spellStart"/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 и на резултати от учене чрез опит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10.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Предоставяне на пространство и подкрепа за самоорганизирането на младите хора в сферата на неформалното и самостоятелно учене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Реализирани инициативи, кампании, предоставяне на зали в ОМД за нуждите на младежите. Подкрепа в осигуряването на зала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Свети Георги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на Община Русе</w:t>
            </w:r>
            <w:r>
              <w:rPr>
                <w:rFonts w:eastAsia="Times New Roman"/>
                <w:bCs/>
                <w:noProof/>
                <w:lang w:eastAsia="bg-BG"/>
              </w:rPr>
              <w:t>,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зала Европа на Доходно здание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и зала Батенберг вИсторическия музей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за </w:t>
            </w:r>
            <w:r>
              <w:rPr>
                <w:rFonts w:eastAsia="Times New Roman"/>
                <w:bCs/>
                <w:noProof/>
                <w:lang w:eastAsia="bg-BG"/>
              </w:rPr>
              <w:t>дейности на младежи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11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t>Валидиране на умения, придобити в рамките на неформалното образование или учене и на резултати от учене чрез опит</w:t>
            </w:r>
            <w:r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Раздадени 50 сертификата и препоръки на участниците в клубовете на ОМД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2. СТРАТЕГИЧЕСКА ОС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2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: НАСЪРЧАВАНЕ НА ЗАЕТОСТТА И ПОДКРЕПАТА ЗА МЛАДИ ХОРА, КОИТО НЕ УЧАТ, НЕ РАБОТЯТ И НЕ СЕ ОБУЧАВАТ (NEETS)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2.1. НАСЪРЧАВАНЕ НА ЗАЕТОСТТА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2.1.1. Осигуряване на възможности за обучение, за професионална квалификация и ключови компетентности, съобразно търсенето на пазара на труда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12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Информационни срещи за кариерно ориентиране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- Провеждане на форум, посветен на кариерното ориентиране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А сега накъде?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, организиран от Младежки парламент. Форумът бе насочен към презентиране на различни български университети и кандидатстудентски фирми. Гости на </w:t>
            </w:r>
            <w:proofErr w:type="spellStart"/>
            <w:r w:rsidRPr="0010516C">
              <w:rPr>
                <w:rFonts w:eastAsia="Times New Roman"/>
                <w:bCs/>
                <w:color w:val="000000"/>
                <w:lang w:eastAsia="bg-BG"/>
              </w:rPr>
              <w:t>експото</w:t>
            </w:r>
            <w:proofErr w:type="spellEnd"/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бяха 10 висши учебни заведения и две фирми. На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lastRenderedPageBreak/>
              <w:t>изложението присъстваха над 300 души, които имаха възможността да се запознаят отблизо с дейността и с малка част от материалната база на представените учебни заведения. Представяне на различни професии и техните професионални отговорности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от изявени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русунски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професионалсити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.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13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Информационни срещи между млади хора – ученици и студенти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с цел менторство и предаване на опит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10516C" w:rsidRDefault="00F17A90" w:rsidP="00415638">
            <w:pPr>
              <w:tabs>
                <w:tab w:val="left" w:pos="1500"/>
              </w:tabs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Организиране на срещи между студенти, бивши участници в МП и ученици – две проведени срещи през годината с 90 участници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3. СТРАТЕГИЧЕСКА ОС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3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: НАСЪРЧАВАНЕ НА АНГАЖИРАНОСТТА, УЧАСТИЕТО И ОВЛАСТЯВАНЕТО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3.1. ПОВИШАВАНЕ НА НИВОТО НА ГРАЖДАНСКА АНГАЖИРАНОСТ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3.1.1. Подкрепа и насърчаване на </w:t>
            </w:r>
            <w:proofErr w:type="spellStart"/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доброволчеството</w:t>
            </w:r>
            <w:proofErr w:type="spellEnd"/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, както и регулиране на доброволческите дейности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14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Организиране на информационни кампании за популяризиране на младежкото </w:t>
            </w:r>
            <w:proofErr w:type="spellStart"/>
            <w:r w:rsidRPr="0010516C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Получена I</w:t>
            </w:r>
            <w:r w:rsidRPr="0010516C">
              <w:rPr>
                <w:rFonts w:eastAsia="Times New Roman"/>
                <w:bCs/>
                <w:noProof/>
                <w:vertAlign w:val="superscript"/>
                <w:lang w:eastAsia="bg-BG"/>
              </w:rPr>
              <w:t>–ва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награда за най-добра младежка доброволческа </w:t>
            </w:r>
            <w:r>
              <w:rPr>
                <w:rFonts w:eastAsia="Times New Roman"/>
                <w:bCs/>
                <w:noProof/>
                <w:lang w:eastAsia="bg-BG"/>
              </w:rPr>
              <w:t>инициатива на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Младежки парламент от ММС;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Организирани 3 улични информационни кампании за популяризиране на младежкото доброволчество. Запознати </w:t>
            </w:r>
            <w:r>
              <w:rPr>
                <w:rFonts w:eastAsia="Times New Roman"/>
                <w:bCs/>
                <w:noProof/>
                <w:lang w:eastAsia="bg-BG"/>
              </w:rPr>
              <w:t>5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00 младежи. </w:t>
            </w:r>
          </w:p>
          <w:p w:rsidR="00F17A90" w:rsidRPr="0010516C" w:rsidRDefault="00F17A90" w:rsidP="00415638">
            <w:pPr>
              <w:jc w:val="both"/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Наградите и кампаниите бяха популяризирани в социалните мрежи.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15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Съдействие при организиране на младежки доброволчески инициативи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Pr="0010516C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Осигуряване на помещения за срещи с младежи от НПО;</w:t>
            </w:r>
          </w:p>
          <w:p w:rsidR="00F17A90" w:rsidRPr="0010516C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Еко акции</w:t>
            </w:r>
            <w:r w:rsidRPr="0010516C">
              <w:rPr>
                <w:rFonts w:eastAsia="Times New Roman"/>
              </w:rPr>
              <w:t>;</w:t>
            </w:r>
          </w:p>
          <w:p w:rsidR="00F17A90" w:rsidRPr="0010516C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 w:rsidRPr="0010516C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почистване на квартали;</w:t>
            </w:r>
            <w:r w:rsidRPr="0010516C">
              <w:rPr>
                <w:rFonts w:eastAsia="Times New Roman"/>
              </w:rPr>
              <w:t xml:space="preserve"> 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 w:rsidRPr="0010516C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съвместни инициативи със сдружение „Напред“;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t>- подкрепа на НМФ за организиране и провеждане на събитие в Русе на тема „Европейски младежки диалог“;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-подкрепа при организиране на събитие „Модел Република България“ от сдружение „България на младите“;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t>- съдействие на инициативата „Заедно да спасим децата и Русе от дрогата“;</w:t>
            </w:r>
          </w:p>
          <w:p w:rsidR="00F17A90" w:rsidRPr="0010516C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</w:rPr>
              <w:t>- участие в инициативата „Да почистим България за един ден“.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16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Осигуряване на подходящо обучение и менторство за младите доброволци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Pr="0010516C" w:rsidRDefault="00F17A90" w:rsidP="00415638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Проведени </w:t>
            </w:r>
            <w:r>
              <w:rPr>
                <w:rFonts w:eastAsia="Times New Roman"/>
                <w:bCs/>
                <w:noProof/>
                <w:lang w:eastAsia="bg-BG"/>
              </w:rPr>
              <w:t>са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15 </w:t>
            </w:r>
            <w:r>
              <w:rPr>
                <w:rFonts w:eastAsia="Times New Roman"/>
                <w:bCs/>
                <w:noProof/>
                <w:lang w:eastAsia="bg-BG"/>
              </w:rPr>
              <w:t>консултации и срещи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;</w:t>
            </w:r>
          </w:p>
          <w:p w:rsidR="00F17A90" w:rsidRPr="0010516C" w:rsidRDefault="00F17A90" w:rsidP="00415638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Ежедневни консултации на доброволци от младежки работници,</w:t>
            </w:r>
          </w:p>
          <w:p w:rsidR="00F17A90" w:rsidRPr="0010516C" w:rsidRDefault="00F17A90" w:rsidP="00415638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подкрепа по време на акциите и инициативите.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17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Популяризиране на възможностите на Европейски корпус за солидарност и развитие на местното и международно </w:t>
            </w:r>
            <w:proofErr w:type="spellStart"/>
            <w:r w:rsidRPr="0010516C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Проведени: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15 информационни кампании в училищата – запознати 400 младежи; 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радиоинтервюта;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среща с доброволци от ЕКС;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предоставяне на информация чрез социалните ни мрежи.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3.2. ПОВИШАВАНЕ НА НИВОТО НА ОВЛАСТЯВАНЕ И КАЧЕСТВЕНО УЧАСТИЕ НА МЛАДИТЕ ХОРА В ПРОЦЕСИТЕ НА ВЗЕМАНЕ НА РЕШЕНИЯ НА МЕСТНО, НАЦИОНАЛНО И ЕВРОПЕЙСКО НИВО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3.2.1.</w:t>
            </w:r>
            <w:r w:rsidRPr="0010516C">
              <w:t xml:space="preserve"> 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Насърчаване на партньорството за качествено младежко участие и овластяване в процесите на вземане на решения на местно ниво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 w:rsidRPr="0010516C">
              <w:t>1</w:t>
            </w:r>
            <w:r>
              <w:t>8.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Насърчаване партньорството между младите хора и Общинска администрация в процеса на вземане на решения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срещи с кмет, заместник кмет</w:t>
            </w:r>
            <w:r>
              <w:rPr>
                <w:rFonts w:eastAsia="Times New Roman"/>
                <w:bCs/>
                <w:noProof/>
                <w:lang w:eastAsia="bg-BG"/>
              </w:rPr>
              <w:t>ове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и ръководството на О</w:t>
            </w:r>
            <w:r>
              <w:rPr>
                <w:rFonts w:eastAsia="Times New Roman"/>
                <w:bCs/>
                <w:noProof/>
                <w:lang w:eastAsia="bg-BG"/>
              </w:rPr>
              <w:t>бщина Русе;</w:t>
            </w:r>
          </w:p>
          <w:p w:rsidR="00F17A90" w:rsidRPr="00110B82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Проведе</w:t>
            </w:r>
            <w:r>
              <w:rPr>
                <w:rFonts w:eastAsia="Times New Roman"/>
                <w:bCs/>
                <w:noProof/>
                <w:lang w:eastAsia="bg-BG"/>
              </w:rPr>
              <w:t>ни над 20 обсъждания на различни теми;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19.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9B773F">
              <w:rPr>
                <w:rFonts w:eastAsia="Times New Roman"/>
                <w:bCs/>
                <w:color w:val="000000"/>
                <w:lang w:eastAsia="bg-BG"/>
              </w:rPr>
              <w:t>Създаване на Общински консултативен съвет по въпросите за младежта към Община Русе</w:t>
            </w:r>
          </w:p>
        </w:tc>
        <w:tc>
          <w:tcPr>
            <w:tcW w:w="1134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2977" w:type="dxa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Създаден ОКСВМ;</w:t>
            </w:r>
          </w:p>
          <w:p w:rsidR="00F17A90" w:rsidRPr="009B773F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Проведени са две редовни срещи с членовете на ОКСВМ и Общинска администрация; Приети са изменения в правилника за ОКСВМ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3.2.2.</w:t>
            </w:r>
            <w:r w:rsidRPr="0010516C">
              <w:t xml:space="preserve"> 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Надграждане на съществуващите механизми за качествено младежко участие в процесите на вземане на решения на национално ниво</w:t>
            </w:r>
          </w:p>
        </w:tc>
      </w:tr>
      <w:tr w:rsidR="00F17A90" w:rsidRPr="0010516C" w:rsidTr="00415638">
        <w:trPr>
          <w:trHeight w:val="586"/>
        </w:trPr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20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Обучения за насърчаване и развитие на младежкото лидерство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Реализирана пролетна академия за младежки лидери в КК „Боровец“, ПБ „Шумнатица“ със средства от ОМД и от младежите;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Реализирано обучение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Академия за младежки лидери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в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Априцлци с участието на 30 младежи, проведено със средства по Плана за младежта за 2024;</w:t>
            </w:r>
          </w:p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Он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лайн участия в различни инициативи и др.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/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8" w:type="dxa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2977" w:type="dxa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3.3. ОСИГУРЯВАНЕ НА ПОДКРЕПЯЩА СРЕДА ЗА МЛАДЕЖКИТЕ ОРГАНИЗАЦИИ И ПОПУЛЯРИЗИРАНЕ НА ПОЛЗИ ОТ ТЯХНАТА РАБОТА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3.3.1. Повишаване на капацитета и устойчивостта на младежките организации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21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t>Насърчаване обмена на информация и комуникация между младежките организации и клубове.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Участие в национална среща на младежките парламенти в град Габрово;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Организирани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над 50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присъствени и онлайн срещи с различни </w:t>
            </w:r>
            <w:r>
              <w:rPr>
                <w:rFonts w:eastAsia="Times New Roman"/>
                <w:bCs/>
                <w:noProof/>
                <w:lang w:eastAsia="bg-BG"/>
              </w:rPr>
              <w:t>младежки организации и клубове;</w:t>
            </w:r>
          </w:p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Организирана среща на младежките организации на БМЧК, Интеракт, Скаути, Каритас, МП.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22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t>Провеждане на целенасочени проучвания за потребностите от информация по въпроси, които засягат младите хора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онлайн и чрез анкети, проучвания за качествено оползотворяване на свободното време сред младите хора.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3.3.2.</w:t>
            </w:r>
            <w:r w:rsidRPr="0010516C">
              <w:t xml:space="preserve"> 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Повишаване на информираност за възможностите за финансиране на младежки проекти и оптимизиране на процедурите за кандидатстване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23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Насърчаване, организиране и подкрепа на младежки инициативи, свързани със съхраняване и поддържане на традициите, обичаите и паметта на поколенията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Инициативи, посветени на </w:t>
            </w:r>
            <w:r>
              <w:rPr>
                <w:rFonts w:eastAsia="Times New Roman"/>
                <w:bCs/>
                <w:noProof/>
                <w:lang w:eastAsia="bg-BG"/>
              </w:rPr>
              <w:t>националните празници и обичаи: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Израбо</w:t>
            </w:r>
            <w:r>
              <w:rPr>
                <w:rFonts w:eastAsia="Times New Roman"/>
                <w:bCs/>
                <w:noProof/>
                <w:lang w:eastAsia="bg-BG"/>
              </w:rPr>
              <w:t>тване и раздаване на мартеници;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Изработка и падар</w:t>
            </w:r>
            <w:r>
              <w:rPr>
                <w:rFonts w:eastAsia="Times New Roman"/>
                <w:bCs/>
                <w:noProof/>
                <w:lang w:eastAsia="bg-BG"/>
              </w:rPr>
              <w:t>яване на розички за  8-ми март;</w:t>
            </w:r>
          </w:p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-Отбелязване празниците: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1 март, 3 март, Великден, 24 май, </w:t>
            </w:r>
            <w:r>
              <w:rPr>
                <w:rFonts w:eastAsia="Times New Roman"/>
                <w:bCs/>
                <w:noProof/>
                <w:lang w:eastAsia="bg-BG"/>
              </w:rPr>
              <w:t>1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юни, 15 септември и др.</w:t>
            </w:r>
            <w:r>
              <w:rPr>
                <w:rFonts w:eastAsia="Times New Roman"/>
                <w:bCs/>
                <w:noProof/>
                <w:lang w:eastAsia="bg-BG"/>
              </w:rPr>
              <w:t>;</w:t>
            </w:r>
          </w:p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lastRenderedPageBreak/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Участие на младежи от Гвардейски отряд в честванията на ра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злични исторически събития –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г</w:t>
            </w:r>
            <w:r>
              <w:rPr>
                <w:rFonts w:eastAsia="Times New Roman"/>
                <w:bCs/>
                <w:noProof/>
                <w:lang w:eastAsia="bg-BG"/>
              </w:rPr>
              <w:t>одишнина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от обесването на В. Левски; освобождението на Русе и България;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смъртта на А. Кънчев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; честванията на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24 май,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6 и 22 септ</w:t>
            </w:r>
            <w:r>
              <w:rPr>
                <w:rFonts w:eastAsia="Times New Roman"/>
                <w:bCs/>
                <w:noProof/>
                <w:lang w:eastAsia="bg-BG"/>
              </w:rPr>
              <w:t>ември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4. СТРАТЕГИЧЕСКА ОС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4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: РАЗВИТИЕ И УТВЪРЖДАВАНЕ НА МЛАДЕЖКАТА РАБОТА В НАЦИОНАЛЕН МАЩАБ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4.1. НАСЪРЧАВАНЕ НА ИНОВАТИВНИ ПОДХОДИ В МЛАДЕЖКАТА РАБОТА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4.1.1. Подкрепа за развитието на мобилна младежка работа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24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Поддържане на информационна страница за услуги, насочени към младите хора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Поддържане и качване на актуална информация в и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нтернет и Фей</w:t>
            </w:r>
            <w:r>
              <w:rPr>
                <w:rFonts w:eastAsia="Times New Roman"/>
                <w:bCs/>
                <w:noProof/>
                <w:lang w:eastAsia="bg-BG"/>
              </w:rPr>
              <w:t>сбук страница на Младежки дом, и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нстаграм профил на  ОМД и МП, фе</w:t>
            </w:r>
            <w:r>
              <w:rPr>
                <w:rFonts w:eastAsia="Times New Roman"/>
                <w:bCs/>
                <w:noProof/>
                <w:lang w:eastAsia="bg-BG"/>
              </w:rPr>
              <w:t>й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сбук страници на съставите.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25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Предоставяне на информация, като част от европейската информационна мрежа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proofErr w:type="spellStart"/>
            <w:r w:rsidRPr="0010516C">
              <w:rPr>
                <w:rFonts w:eastAsia="Times New Roman"/>
                <w:bCs/>
                <w:color w:val="000000"/>
                <w:lang w:eastAsia="bg-BG"/>
              </w:rPr>
              <w:t>Евродеск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Инфо кампании в училища и онлайн. Инфощандове на открито. Открита информационна среща за всички заинтересовани от младежка мобилност, реализирание на кампанията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val="en-US" w:eastAsia="bg-BG"/>
              </w:rPr>
              <w:t>Time to move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. Предоставяне на информация онлайн в различни страници и групи в социалните медии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26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Консултиране на младите хора във връзка с образователни програми, младежки програми и проекти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Дадени онлайн, по телефон, в социалните ни канали и на място консултации на младежи, по програми за младежка мобилност.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Консултирани 200 младежи.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27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4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Организиране на информационни срещи по метода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„Връстници обучават връстници„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35 информационни срещи от младежи в русенски училища, свързани с популяризиране на младежките дейности, прават</w:t>
            </w:r>
            <w:r>
              <w:rPr>
                <w:rFonts w:eastAsia="Times New Roman"/>
                <w:bCs/>
                <w:noProof/>
                <w:lang w:eastAsia="bg-BG"/>
              </w:rPr>
              <w:t>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на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човека, доброволчеството и др</w:t>
            </w:r>
            <w:r>
              <w:rPr>
                <w:rFonts w:eastAsia="Times New Roman"/>
                <w:bCs/>
                <w:noProof/>
                <w:lang w:eastAsia="bg-BG"/>
              </w:rPr>
              <w:t>. Информирани 1000 младежи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28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Организиране на обучения насочени към формиране и развитие на медийна грамотност 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Участие на младежи в радио и ТВ интервюта. 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5. СТРАТЕГИЧЕСКА ОС 5: 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СВЪРЗАНОСТ, ТОЛЕРАНТНОСТ И ЕВРОПЕЙСКА ПРИНАДЛЕЖНОСТ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5.1. НАСЪРЧАВАНЕ НА СОЦИАЛНОТО ВКЛЮЧВАНЕ НА МЛАДИТЕ ХОРА ОТ УЯЗВИМИ ГРУПИ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5.1.1. Насърчаване приобщаването и социалната интеграция на младите хора със специфични потребности и в риск от маргинализация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29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Предоставяне на възможности за включване в младежки дейности и подкрепа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Включени 50 младежи в неравностойно поло</w:t>
            </w:r>
            <w:r>
              <w:rPr>
                <w:rFonts w:eastAsia="Times New Roman"/>
                <w:bCs/>
                <w:noProof/>
                <w:lang w:eastAsia="bg-BG"/>
              </w:rPr>
              <w:t>жение в младежки дейности, инициативи, консултации, кампании и др.</w:t>
            </w:r>
          </w:p>
        </w:tc>
      </w:tr>
      <w:tr w:rsidR="00F17A90" w:rsidRPr="0010516C" w:rsidTr="00415638">
        <w:tc>
          <w:tcPr>
            <w:tcW w:w="11057" w:type="dxa"/>
            <w:gridSpan w:val="6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5.1.2. Повишаване на информираността на младите хора във връзка с проблемите на младежите от уязвими групи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/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F17A90" w:rsidRPr="007473D9" w:rsidRDefault="00F17A90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</w:p>
        </w:tc>
        <w:tc>
          <w:tcPr>
            <w:tcW w:w="2977" w:type="dxa"/>
          </w:tcPr>
          <w:p w:rsidR="00F17A90" w:rsidRPr="007473D9" w:rsidRDefault="00F17A90" w:rsidP="00415638">
            <w:pPr>
              <w:jc w:val="both"/>
              <w:rPr>
                <w:noProof/>
              </w:rPr>
            </w:pP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30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Провеждане на индивидуални срещи с психолог за младежи и техните родители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Организиране на групови и индивидуални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консултации с психолог на място в ОМД /всеки вторник и четвъртък/ и по телефон.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Проведени 160 консултации с младежи и 120 родители.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6. СТРАТЕГИЧЕСКА ОС 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: НАСЪРЧАВАНЕ НА ЗДРАВОСЛОВЕН И ПРИРОДОЩАДЯЩ НАЧИН НА ЖИВОТ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.1. СЪЗДАВАНЕ НА УСЛОВИЯ И НАСЪРЧАВАНЕ НА МЛАДИТЕ ХОРА КЪМ ЗДРАВОСЛОВЕН НАЧИН НА ЖИВОТ, ЗДРАВОСЛОВНО ХРАНЕНЕ, ФИЗИЧЕСКА АКТИВНОСТ И СПОРТ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.1.1. Създаване на условия и насърчаване на физическата активност и спорта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31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lang w:eastAsia="bg-BG"/>
              </w:rPr>
              <w:t xml:space="preserve">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lang w:eastAsia="bg-BG"/>
              </w:rPr>
              <w:t>Провеждане на занимания и тренировки по източни изкуства</w:t>
            </w:r>
            <w:r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  <w:tc>
          <w:tcPr>
            <w:tcW w:w="2977" w:type="dxa"/>
          </w:tcPr>
          <w:p w:rsidR="00F17A90" w:rsidRPr="00B04F65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Проведени 5 пъти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семично тренировки, участия в концерти на ОМД и общоградски изяви, </w:t>
            </w:r>
            <w:r w:rsidRPr="00B04F65">
              <w:rPr>
                <w:rFonts w:eastAsia="Times New Roman"/>
                <w:bCs/>
                <w:noProof/>
                <w:lang w:eastAsia="bg-BG"/>
              </w:rPr>
              <w:t>турнири и републиканско първенство.</w:t>
            </w:r>
          </w:p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B04F65">
              <w:rPr>
                <w:rFonts w:eastAsia="Times New Roman"/>
                <w:bCs/>
                <w:noProof/>
                <w:lang w:eastAsia="bg-BG"/>
              </w:rPr>
              <w:t>Целогодишно обучение по Ушу с 4 групи в ЦПЛР-УСШ, общо 50 участника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32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lang w:eastAsia="bg-BG"/>
              </w:rPr>
              <w:t xml:space="preserve">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lang w:eastAsia="bg-BG"/>
              </w:rPr>
              <w:t>Провеждане на занимания и тренировки по шахмат</w:t>
            </w:r>
            <w:r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>
              <w:rPr>
                <w:rFonts w:eastAsia="Times New Roman"/>
                <w:bCs/>
                <w:color w:val="000000"/>
                <w:lang w:eastAsia="bg-BG"/>
              </w:rPr>
              <w:t>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2 пъти седмично тренировки в две възрастови групи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33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lang w:eastAsia="bg-BG"/>
              </w:rPr>
              <w:t>Дейност 3</w:t>
            </w:r>
            <w:r w:rsidRPr="0010516C">
              <w:rPr>
                <w:rFonts w:eastAsia="Times New Roman"/>
                <w:bCs/>
                <w:lang w:eastAsia="bg-BG"/>
              </w:rPr>
              <w:t xml:space="preserve">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lang w:eastAsia="bg-BG"/>
              </w:rPr>
              <w:t>Провеждане на шахматни турнири</w:t>
            </w:r>
            <w:r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4 турнира в Русе. Участие в турнири в други градове и държави.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34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10516C">
              <w:rPr>
                <w:rFonts w:eastAsia="Times New Roman"/>
                <w:bCs/>
                <w:lang w:eastAsia="bg-BG"/>
              </w:rPr>
              <w:t xml:space="preserve"> </w:t>
            </w:r>
            <w:r>
              <w:rPr>
                <w:rFonts w:eastAsia="Times New Roman"/>
                <w:bCs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lang w:eastAsia="bg-BG"/>
              </w:rPr>
              <w:t>Провеждане на турнири по източни изкуства</w:t>
            </w:r>
            <w:r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  <w:tc>
          <w:tcPr>
            <w:tcW w:w="2977" w:type="dxa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Коледен турнир по Ушу - 65 участници от ЦПЛР УСШ и ОМД.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.1.2. Повишаване на осведомеността по темите за здравословен начин на живот и здравословно хранене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35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Организиране на беседи на тема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Здравословен начин на живот, съчетани с походи, излети, спортни игри на открито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Default="00F17A90" w:rsidP="00415638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-</w:t>
            </w:r>
            <w:r w:rsidRPr="00110B82">
              <w:rPr>
                <w:sz w:val="23"/>
                <w:szCs w:val="23"/>
                <w:shd w:val="clear" w:color="auto" w:fill="FFFFFF"/>
              </w:rPr>
              <w:t xml:space="preserve">Доброволци от Младежки парламент взеха участие в тренировки по </w:t>
            </w:r>
            <w:proofErr w:type="spellStart"/>
            <w:r w:rsidRPr="00110B82">
              <w:rPr>
                <w:sz w:val="23"/>
                <w:szCs w:val="23"/>
                <w:shd w:val="clear" w:color="auto" w:fill="FFFFFF"/>
              </w:rPr>
              <w:t>кросфит</w:t>
            </w:r>
            <w:proofErr w:type="spellEnd"/>
            <w:r w:rsidRPr="00110B82">
              <w:rPr>
                <w:sz w:val="23"/>
                <w:szCs w:val="23"/>
                <w:shd w:val="clear" w:color="auto" w:fill="FFFFFF"/>
              </w:rPr>
              <w:t>, участваха в поход до хижа Приста.</w:t>
            </w:r>
          </w:p>
          <w:p w:rsidR="00F17A90" w:rsidRPr="00110B82" w:rsidRDefault="00F17A90" w:rsidP="00415638">
            <w:pPr>
              <w:jc w:val="both"/>
              <w:rPr>
                <w:rFonts w:eastAsia="Times New Roman"/>
                <w:lang w:eastAsia="bg-BG"/>
              </w:rPr>
            </w:pPr>
            <w:r>
              <w:rPr>
                <w:sz w:val="23"/>
                <w:szCs w:val="23"/>
                <w:shd w:val="clear" w:color="auto" w:fill="FFFFFF"/>
              </w:rPr>
              <w:t>-Обучение не теча „Здравословен начин на живот и превенция“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.2. ПРЕВЕНЦИЯ НА ПРОБЛЕМИ, СВЪРЗАНИ С ПСИХИЧНОТО ЗДРАВЕ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.2.1. Осигуряване на достъп до услугата психологична подкрепа за младите хора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36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Индивидуални консултации с психолог, с цел превенция на психични заболявания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роведени 5 групови срещи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с участие на 75 младежи,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с психолога на Младежки дом с цел превенция.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.3. ПРЕВЕНЦИЯ НА ПРОБЛЕМИ, СВЪРЗАНИ СЪС СЕКСУАЛНОТО И РЕПРОДУКТИВНО ЗДРАВЕ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.3.1. Повишаване на информираността по темата за сексуалното и репродуктивно здраве на младите хора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Default="00F17A90" w:rsidP="00415638"/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2977" w:type="dxa"/>
          </w:tcPr>
          <w:p w:rsidR="00F17A90" w:rsidRPr="00B353A6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</w:p>
        </w:tc>
      </w:tr>
      <w:tr w:rsidR="00F17A90" w:rsidRPr="0010516C" w:rsidTr="00415638">
        <w:tc>
          <w:tcPr>
            <w:tcW w:w="562" w:type="dxa"/>
          </w:tcPr>
          <w:p w:rsidR="00F17A90" w:rsidRDefault="00F17A90" w:rsidP="00415638">
            <w:r>
              <w:t>37</w:t>
            </w:r>
          </w:p>
        </w:tc>
        <w:tc>
          <w:tcPr>
            <w:tcW w:w="3549" w:type="dxa"/>
          </w:tcPr>
          <w:p w:rsidR="00F17A90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„Обучителен семинар“</w:t>
            </w:r>
          </w:p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02.2024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7" w:type="dxa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B353A6">
              <w:rPr>
                <w:rFonts w:eastAsia="Times New Roman"/>
                <w:bCs/>
                <w:color w:val="000000"/>
                <w:lang w:eastAsia="bg-BG"/>
              </w:rPr>
              <w:t xml:space="preserve">Съдействие и домакинство при провеждане на 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обучителен семинар „Младите българи -архитекти на промяната“ на Фондация „Искам бебе“ с участието на 40 младежи в 4 области: Сексуално и репродуктивно здраве; Здравословно хранене; Психично и емоционално здраве; Физическо възпитание и спорт </w:t>
            </w:r>
            <w:r w:rsidRPr="00B353A6">
              <w:rPr>
                <w:rFonts w:eastAsia="Times New Roman"/>
                <w:bCs/>
                <w:color w:val="000000"/>
                <w:lang w:eastAsia="bg-BG"/>
              </w:rPr>
              <w:t>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38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кампании за превенция на ХИВ/СПИН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12.2024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10516C" w:rsidRDefault="00F17A90" w:rsidP="00415638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B353A6">
              <w:rPr>
                <w:rFonts w:eastAsia="Times New Roman"/>
                <w:bCs/>
                <w:color w:val="000000"/>
                <w:lang w:eastAsia="bg-BG"/>
              </w:rPr>
              <w:t>Съдействие и домакинство при провеждане на кампания от БМЧК, с участието на институции, НПО и др. младежки организации.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 xml:space="preserve">.4. </w:t>
            </w: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НАСЪРЧАВАНЕ НА ПРИРОДОЩАДЯЩНАЧИН НА ЖИВОТ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6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.4.1. Стимулиране и подкрепа на младежки доброволчески инициативи в областта на опазването на околната среда и формиране на устойчива екологична култура и поведение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39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Организиране на екологични доброволчески инициативи, свързани с облагородяване на градската среда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val="en-US" w:eastAsia="bg-BG"/>
              </w:rPr>
              <w:t>-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Доброволци от Младежки парламент се включиха в 5 акции по почистане, с участието на 40 доброволеца,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Да почистим България за един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lastRenderedPageBreak/>
              <w:t>ден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, почистване на </w:t>
            </w:r>
            <w:r>
              <w:rPr>
                <w:rFonts w:eastAsia="Times New Roman"/>
                <w:bCs/>
                <w:noProof/>
                <w:lang w:eastAsia="bg-BG"/>
              </w:rPr>
              <w:t>квартали от града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и др.</w:t>
            </w:r>
          </w:p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40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Организиране на екологични доброволчески инициативи, с цел осъзнаване и промяна в мисленето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shd w:val="clear" w:color="auto" w:fill="FFFFFF" w:themeFill="background1"/>
          </w:tcPr>
          <w:p w:rsidR="00F17A90" w:rsidRPr="005F16E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Доброволческа дейност във всички кампании на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Капачки за бъдеще</w:t>
            </w:r>
            <w:r>
              <w:rPr>
                <w:rFonts w:eastAsia="Times New Roman"/>
                <w:bCs/>
                <w:noProof/>
                <w:lang w:eastAsia="bg-BG"/>
              </w:rPr>
              <w:t>“ – 2 кампании за 2024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година с участие на 60 доброволеца от Младежки парламент</w:t>
            </w:r>
            <w:r>
              <w:rPr>
                <w:rFonts w:eastAsia="Times New Roman"/>
                <w:bCs/>
                <w:noProof/>
                <w:lang w:eastAsia="bg-BG"/>
              </w:rPr>
              <w:t>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7. СТРАТЕГИЧЕСКА ОС 7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: НАСЪРЧАВАНЕ НА КУЛТУРАТА И ТВОРЧЕСТВОТО СРЕД МЛАДИТЕ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7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.1. ПОВИШАВАНЕ НА ДОСТЪПА ДО КУЛТУРА И НИВОТО НА КУЛТУРНО УЧАСТИЕ НА МЛАДИТЕ ХОРА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7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.1.1. Насърчаване на мобилността на младежките творчески трупи и подкрепа за моб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илни форми на изкуство и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bg-BG"/>
              </w:rPr>
              <w:t>култур</w:t>
            </w:r>
            <w:proofErr w:type="spellEnd"/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41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„Мобилност на младежки творчески групи“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 и участници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2977" w:type="dxa"/>
            <w:vAlign w:val="center"/>
          </w:tcPr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Участие на: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-ТС Импулс в международни конкурси в Букурещ и Брашов;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-МС Екстрийм в конкурси във В.Търново и Шумен;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-ФТС Зора в конкурс във Варна;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-Хор Св. Георги в концерти в Добрич и Гюргево, национална инициатива „България пее“ в Русе.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-ТС Импулс, ФТС Зора в международен фестивал в Чанаккале.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-клуб Маска с две премиери в Русе и участие във Варна;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-ВГ Приста в конкурси в Силистра, Узбекистан и Казахстан;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-ВС Икономов в конкурси в Свищов, Петрич, Силистра и В.Търново;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-Гвардейски отряд в менторска програма в Черна гора и в среща с президента на РБ;</w:t>
            </w:r>
          </w:p>
          <w:p w:rsidR="00F17A90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-клуб Палитра в пленер в Тутракан;</w:t>
            </w:r>
          </w:p>
          <w:p w:rsidR="00F17A90" w:rsidRPr="002B1757" w:rsidRDefault="00F17A90" w:rsidP="00415638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-клуб Шах в Държавно отборно първенство в Боровец.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42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</w:t>
            </w:r>
            <w:r>
              <w:rPr>
                <w:rFonts w:eastAsia="Times New Roman"/>
                <w:bCs/>
                <w:i/>
                <w:color w:val="000000"/>
                <w:lang w:eastAsia="bg-BG"/>
              </w:rPr>
              <w:t>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Международен танцов фестивал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Танцуваща река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 – 17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-то издание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06.2024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Сдружение „Импулс“,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Сдружение „Импулс“</w:t>
            </w:r>
          </w:p>
        </w:tc>
        <w:tc>
          <w:tcPr>
            <w:tcW w:w="2977" w:type="dxa"/>
            <w:vAlign w:val="center"/>
          </w:tcPr>
          <w:p w:rsidR="00F17A90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Проведен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Международен танцов фестивал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Танцуваща река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– участие вземат над 600 участници в четири възрастови групи, 23 състава от България и Румъния.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</w:p>
          <w:p w:rsidR="00F17A90" w:rsidRPr="00DB513D" w:rsidRDefault="00F17A90" w:rsidP="00415638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sz w:val="23"/>
                <w:szCs w:val="23"/>
                <w:shd w:val="clear" w:color="auto" w:fill="FFFFFF"/>
              </w:rPr>
              <w:t>Конкурсът е включен в програмата на Община Русе за закрила на даровити деца.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43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</w:t>
            </w:r>
            <w:r>
              <w:rPr>
                <w:rFonts w:eastAsia="Times New Roman"/>
                <w:bCs/>
                <w:i/>
                <w:color w:val="000000"/>
                <w:lang w:eastAsia="bg-BG"/>
              </w:rPr>
              <w:t>ейност 3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Международен конкурс за млади изпълнители на популярна песен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Северно сияние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 – 28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-то издание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10.2024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Северно сияние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; ОМД и Община Русе</w:t>
            </w:r>
          </w:p>
        </w:tc>
        <w:tc>
          <w:tcPr>
            <w:tcW w:w="1417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Северно сияние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2977" w:type="dxa"/>
            <w:vAlign w:val="center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Проведен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Международен конкурс за млади изпълнители на популярна песен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Северно сияние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– участие вземат </w:t>
            </w:r>
            <w:r>
              <w:rPr>
                <w:rFonts w:eastAsia="Times New Roman"/>
                <w:bCs/>
                <w:noProof/>
                <w:lang w:eastAsia="bg-BG"/>
              </w:rPr>
              <w:t>6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0 таланта в 5 възрастови групи от България.</w:t>
            </w:r>
          </w:p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sz w:val="23"/>
                <w:szCs w:val="23"/>
                <w:shd w:val="clear" w:color="auto" w:fill="FFFFFF"/>
              </w:rPr>
              <w:t>Конкурсът е включен в програмата на Община Русе за закрила на даровити деца.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7</w:t>
            </w:r>
            <w:r w:rsidRPr="0010516C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.2. НАСЪРЧАВАНЕ НА ЛИЧНИ ТВОРЧЕСКИ УМЕНИЯ</w:t>
            </w:r>
          </w:p>
        </w:tc>
      </w:tr>
      <w:tr w:rsidR="00F17A90" w:rsidRPr="0010516C" w:rsidTr="00415638">
        <w:tc>
          <w:tcPr>
            <w:tcW w:w="11057" w:type="dxa"/>
            <w:gridSpan w:val="6"/>
            <w:vAlign w:val="center"/>
          </w:tcPr>
          <w:p w:rsidR="00F17A90" w:rsidRPr="0010516C" w:rsidRDefault="00F17A90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7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.2.1. Подкрепа на дейности и инициативи за повишаване на личните творчески умения на младите хора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44.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Конкурс-рецитал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За да я има България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“ – 20-то юбилейно 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издание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03.2024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Участие вземат</w:t>
            </w:r>
            <w:r w:rsidRPr="00DB513D">
              <w:rPr>
                <w:rFonts w:eastAsia="Segoe UI Historic"/>
                <w:shd w:val="clear" w:color="auto" w:fill="FFFFFF"/>
              </w:rPr>
              <w:t xml:space="preserve"> 3</w:t>
            </w:r>
            <w:r>
              <w:rPr>
                <w:rFonts w:eastAsia="Segoe UI Historic"/>
                <w:shd w:val="clear" w:color="auto" w:fill="FFFFFF"/>
              </w:rPr>
              <w:t>3</w:t>
            </w:r>
            <w:r w:rsidRPr="00DB513D">
              <w:rPr>
                <w:rFonts w:eastAsia="Segoe UI Historic"/>
                <w:shd w:val="clear" w:color="auto" w:fill="FFFFFF"/>
              </w:rPr>
              <w:t xml:space="preserve">0 деца и младежи, в две направления и три възрастови групи. </w:t>
            </w:r>
            <w:r w:rsidRPr="00DB513D">
              <w:rPr>
                <w:sz w:val="23"/>
                <w:szCs w:val="23"/>
                <w:shd w:val="clear" w:color="auto" w:fill="FFFFFF"/>
              </w:rPr>
              <w:t>Конкурсът е включен в програмата на Община Русе за закрила на даровити деца.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45.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Конкурс за рисунка и фотография, посветен на опазването на водата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 - 18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то издание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03.2024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роведен конкурс в три възрастови групи. Общ брой на участвалите творби е 4</w:t>
            </w:r>
            <w:r>
              <w:rPr>
                <w:rFonts w:eastAsia="Times New Roman"/>
                <w:bCs/>
                <w:noProof/>
                <w:lang w:eastAsia="bg-BG"/>
              </w:rPr>
              <w:t>74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, </w:t>
            </w:r>
            <w:r>
              <w:rPr>
                <w:rFonts w:eastAsia="Times New Roman"/>
                <w:bCs/>
                <w:noProof/>
                <w:lang w:eastAsia="bg-BG"/>
              </w:rPr>
              <w:t>343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рисунки от всички области на страната, а</w:t>
            </w:r>
            <w:r w:rsidRPr="00DB513D">
              <w:rPr>
                <w:shd w:val="clear" w:color="auto" w:fill="FFFFFF"/>
              </w:rPr>
              <w:t xml:space="preserve"> фотографиите са 1</w:t>
            </w:r>
            <w:r>
              <w:rPr>
                <w:shd w:val="clear" w:color="auto" w:fill="FFFFFF"/>
              </w:rPr>
              <w:t>31</w:t>
            </w:r>
            <w:r w:rsidRPr="00DB513D">
              <w:rPr>
                <w:shd w:val="clear" w:color="auto" w:fill="FFFFFF"/>
              </w:rPr>
              <w:t xml:space="preserve"> от цялата страна както и чужбина – Египет,</w:t>
            </w:r>
            <w:r>
              <w:rPr>
                <w:shd w:val="clear" w:color="auto" w:fill="FFFFFF"/>
              </w:rPr>
              <w:t xml:space="preserve"> Тунис,</w:t>
            </w:r>
            <w:r w:rsidRPr="00DB513D">
              <w:rPr>
                <w:shd w:val="clear" w:color="auto" w:fill="FFFFFF"/>
              </w:rPr>
              <w:t xml:space="preserve"> Испания, </w:t>
            </w:r>
            <w:r>
              <w:rPr>
                <w:shd w:val="clear" w:color="auto" w:fill="FFFFFF"/>
              </w:rPr>
              <w:t>Португалия</w:t>
            </w:r>
            <w:r w:rsidRPr="00DB513D">
              <w:rPr>
                <w:shd w:val="clear" w:color="auto" w:fill="FFFFFF"/>
              </w:rPr>
              <w:t xml:space="preserve">, Турция, </w:t>
            </w:r>
            <w:r>
              <w:rPr>
                <w:shd w:val="clear" w:color="auto" w:fill="FFFFFF"/>
              </w:rPr>
              <w:t>Полша</w:t>
            </w:r>
            <w:r w:rsidRPr="00DB513D">
              <w:rPr>
                <w:shd w:val="clear" w:color="auto" w:fill="FFFFFF"/>
              </w:rPr>
              <w:t>.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t>46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Конкурс за млади поети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Пробуждане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 8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-то издание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– посветен на 21 март – „Ден на поезията“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03.2024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</w:tcPr>
          <w:p w:rsidR="00F17A90" w:rsidRPr="00DB513D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Участие вземат </w:t>
            </w:r>
            <w:r>
              <w:rPr>
                <w:shd w:val="clear" w:color="auto" w:fill="FFFFFF"/>
              </w:rPr>
              <w:t xml:space="preserve">123 </w:t>
            </w:r>
            <w:r w:rsidRPr="00DB513D">
              <w:rPr>
                <w:shd w:val="clear" w:color="auto" w:fill="FFFFFF"/>
              </w:rPr>
              <w:t>изпратени и непубликувани творби</w:t>
            </w:r>
            <w:r>
              <w:rPr>
                <w:shd w:val="clear" w:color="auto" w:fill="FFFFFF"/>
              </w:rPr>
              <w:t xml:space="preserve"> от страната.</w:t>
            </w:r>
          </w:p>
        </w:tc>
      </w:tr>
      <w:tr w:rsidR="00F17A90" w:rsidRPr="0010516C" w:rsidTr="00415638">
        <w:tc>
          <w:tcPr>
            <w:tcW w:w="11057" w:type="dxa"/>
            <w:gridSpan w:val="6"/>
          </w:tcPr>
          <w:p w:rsidR="00F17A90" w:rsidRPr="0010516C" w:rsidRDefault="00F17A90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7</w:t>
            </w:r>
            <w:r w:rsidRPr="0010516C">
              <w:rPr>
                <w:rFonts w:eastAsia="Times New Roman"/>
                <w:b/>
                <w:bCs/>
                <w:color w:val="000000"/>
                <w:lang w:eastAsia="bg-BG"/>
              </w:rPr>
              <w:t>.2.2. Популяризиране и подкрепа на дейностите на младежки пространства, центрове, зони, творчески колективи и организации, работещи за младежко включване в културния живот</w:t>
            </w:r>
          </w:p>
        </w:tc>
      </w:tr>
      <w:tr w:rsidR="00F17A90" w:rsidRPr="0010516C" w:rsidTr="00415638">
        <w:tc>
          <w:tcPr>
            <w:tcW w:w="562" w:type="dxa"/>
            <w:vAlign w:val="center"/>
          </w:tcPr>
          <w:p w:rsidR="00F17A90" w:rsidRPr="0010516C" w:rsidRDefault="00F17A90" w:rsidP="00415638">
            <w:r>
              <w:lastRenderedPageBreak/>
              <w:t>47</w:t>
            </w:r>
            <w:r w:rsidRPr="0010516C">
              <w:t>.</w:t>
            </w:r>
          </w:p>
        </w:tc>
        <w:tc>
          <w:tcPr>
            <w:tcW w:w="3549" w:type="dxa"/>
            <w:vAlign w:val="center"/>
          </w:tcPr>
          <w:p w:rsidR="00F17A90" w:rsidRPr="0010516C" w:rsidRDefault="00F17A90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>Отбелязване на международния ден на младежта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134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08.2024</w:t>
            </w:r>
            <w:r w:rsidRPr="0010516C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F17A90" w:rsidRPr="0010516C" w:rsidRDefault="00F17A90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417" w:type="dxa"/>
            <w:vAlign w:val="center"/>
          </w:tcPr>
          <w:p w:rsidR="00F17A90" w:rsidRPr="0010516C" w:rsidRDefault="00F17A90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977" w:type="dxa"/>
            <w:vAlign w:val="center"/>
          </w:tcPr>
          <w:p w:rsidR="00F17A90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Седмица на младежта със следните събития:</w:t>
            </w:r>
          </w:p>
          <w:p w:rsidR="00F17A90" w:rsidRPr="00077853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077853">
              <w:rPr>
                <w:rFonts w:eastAsia="Times New Roman"/>
                <w:bCs/>
                <w:noProof/>
                <w:lang w:eastAsia="bg-BG"/>
              </w:rPr>
              <w:t>Палатков лагер с БМЧК в село Пиргово;</w:t>
            </w:r>
          </w:p>
          <w:p w:rsidR="00F17A90" w:rsidRPr="00077853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077853">
              <w:rPr>
                <w:rFonts w:eastAsia="Times New Roman"/>
                <w:bCs/>
                <w:noProof/>
                <w:lang w:eastAsia="bg-BG"/>
              </w:rPr>
              <w:t>Рисуване на детски лица в парка на младежта;</w:t>
            </w:r>
          </w:p>
          <w:p w:rsidR="00F17A90" w:rsidRPr="00077853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077853">
              <w:rPr>
                <w:rFonts w:eastAsia="Times New Roman"/>
                <w:bCs/>
                <w:noProof/>
                <w:lang w:eastAsia="bg-BG"/>
              </w:rPr>
              <w:t>Разхождане на кучето от общинския приют за безстопанствени животни от доброволци от младежки парламент;</w:t>
            </w:r>
          </w:p>
          <w:p w:rsidR="00F17A90" w:rsidRPr="00077853" w:rsidRDefault="00F17A90" w:rsidP="00415638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077853">
              <w:rPr>
                <w:rFonts w:eastAsia="Times New Roman"/>
                <w:bCs/>
                <w:noProof/>
                <w:lang w:eastAsia="bg-BG"/>
              </w:rPr>
              <w:t>Организиран уъркшоп по фотография и конкурс за снимка, посветени на деня на фотографията.</w:t>
            </w:r>
          </w:p>
        </w:tc>
      </w:tr>
    </w:tbl>
    <w:p w:rsidR="00F17A90" w:rsidRPr="0010516C" w:rsidRDefault="00F17A90" w:rsidP="00F1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:rsidR="00F17A90" w:rsidRPr="00B90DF3" w:rsidRDefault="00F17A90" w:rsidP="00F17A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17A90" w:rsidRPr="00CC3546" w:rsidRDefault="00F17A90" w:rsidP="00CC354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bookmarkStart w:id="0" w:name="_GoBack"/>
      <w:bookmarkEnd w:id="0"/>
    </w:p>
    <w:sectPr w:rsidR="00F17A90" w:rsidRPr="00CC3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552F"/>
    <w:multiLevelType w:val="hybridMultilevel"/>
    <w:tmpl w:val="E70AF87E"/>
    <w:lvl w:ilvl="0" w:tplc="E968CA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C4B74"/>
    <w:multiLevelType w:val="hybridMultilevel"/>
    <w:tmpl w:val="C75458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3BF4"/>
    <w:multiLevelType w:val="hybridMultilevel"/>
    <w:tmpl w:val="2522D7A6"/>
    <w:lvl w:ilvl="0" w:tplc="F60497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02593"/>
    <w:multiLevelType w:val="multilevel"/>
    <w:tmpl w:val="4C2211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7E2A"/>
    <w:multiLevelType w:val="hybridMultilevel"/>
    <w:tmpl w:val="E29628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9702A"/>
    <w:multiLevelType w:val="hybridMultilevel"/>
    <w:tmpl w:val="95D80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5CDC"/>
    <w:multiLevelType w:val="hybridMultilevel"/>
    <w:tmpl w:val="A92EC452"/>
    <w:lvl w:ilvl="0" w:tplc="01742F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A4278"/>
    <w:multiLevelType w:val="hybridMultilevel"/>
    <w:tmpl w:val="60306E5A"/>
    <w:lvl w:ilvl="0" w:tplc="5B3EC22A">
      <w:start w:val="1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D7E6643"/>
    <w:multiLevelType w:val="hybridMultilevel"/>
    <w:tmpl w:val="3E0CD8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DE3504">
      <w:numFmt w:val="bullet"/>
      <w:lvlText w:val="·"/>
      <w:lvlJc w:val="left"/>
      <w:pPr>
        <w:ind w:left="1524" w:hanging="444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411C2"/>
    <w:multiLevelType w:val="hybridMultilevel"/>
    <w:tmpl w:val="1032D1C8"/>
    <w:lvl w:ilvl="0" w:tplc="9F609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D12473"/>
    <w:multiLevelType w:val="hybridMultilevel"/>
    <w:tmpl w:val="FF0625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928AB"/>
    <w:multiLevelType w:val="hybridMultilevel"/>
    <w:tmpl w:val="4C6AFCE4"/>
    <w:lvl w:ilvl="0" w:tplc="D91804E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13A23"/>
    <w:multiLevelType w:val="hybridMultilevel"/>
    <w:tmpl w:val="223E0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62F39"/>
    <w:multiLevelType w:val="hybridMultilevel"/>
    <w:tmpl w:val="3104F4C6"/>
    <w:lvl w:ilvl="0" w:tplc="E5A825B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A083D"/>
    <w:multiLevelType w:val="hybridMultilevel"/>
    <w:tmpl w:val="B9B4BE4E"/>
    <w:lvl w:ilvl="0" w:tplc="E28820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C75ED"/>
    <w:multiLevelType w:val="hybridMultilevel"/>
    <w:tmpl w:val="9CF03C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C471EEB"/>
    <w:multiLevelType w:val="hybridMultilevel"/>
    <w:tmpl w:val="B3CAF612"/>
    <w:lvl w:ilvl="0" w:tplc="433CC7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11"/>
  </w:num>
  <w:num w:numId="10">
    <w:abstractNumId w:val="16"/>
  </w:num>
  <w:num w:numId="11">
    <w:abstractNumId w:val="2"/>
  </w:num>
  <w:num w:numId="12">
    <w:abstractNumId w:val="7"/>
  </w:num>
  <w:num w:numId="13">
    <w:abstractNumId w:val="13"/>
  </w:num>
  <w:num w:numId="14">
    <w:abstractNumId w:val="14"/>
  </w:num>
  <w:num w:numId="15">
    <w:abstractNumId w:val="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CF"/>
    <w:rsid w:val="00091ECF"/>
    <w:rsid w:val="00575BF3"/>
    <w:rsid w:val="00755F87"/>
    <w:rsid w:val="00883D0E"/>
    <w:rsid w:val="00CC3546"/>
    <w:rsid w:val="00F1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174B6"/>
  <w15:chartTrackingRefBased/>
  <w15:docId w15:val="{D21B4C63-F606-4F07-BF17-57D50927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CF"/>
  </w:style>
  <w:style w:type="paragraph" w:styleId="3">
    <w:name w:val="heading 3"/>
    <w:basedOn w:val="a"/>
    <w:link w:val="30"/>
    <w:uiPriority w:val="9"/>
    <w:semiHidden/>
    <w:unhideWhenUsed/>
    <w:qFormat/>
    <w:rsid w:val="00F17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uiPriority w:val="9"/>
    <w:semiHidden/>
    <w:rsid w:val="00F17A9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F17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17A9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17A9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17A90"/>
    <w:rPr>
      <w:color w:val="800080"/>
      <w:u w:val="single"/>
    </w:rPr>
  </w:style>
  <w:style w:type="paragraph" w:customStyle="1" w:styleId="msonormal0">
    <w:name w:val="msonormal"/>
    <w:basedOn w:val="a"/>
    <w:rsid w:val="00F17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header"/>
    <w:basedOn w:val="a"/>
    <w:link w:val="a8"/>
    <w:uiPriority w:val="99"/>
    <w:unhideWhenUsed/>
    <w:rsid w:val="00F17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F17A90"/>
  </w:style>
  <w:style w:type="paragraph" w:styleId="a9">
    <w:name w:val="footer"/>
    <w:basedOn w:val="a"/>
    <w:link w:val="aa"/>
    <w:uiPriority w:val="99"/>
    <w:unhideWhenUsed/>
    <w:rsid w:val="00F17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F17A90"/>
  </w:style>
  <w:style w:type="paragraph" w:styleId="ab">
    <w:name w:val="List Paragraph"/>
    <w:basedOn w:val="a"/>
    <w:uiPriority w:val="34"/>
    <w:qFormat/>
    <w:rsid w:val="00F17A90"/>
    <w:pPr>
      <w:spacing w:line="256" w:lineRule="auto"/>
      <w:ind w:left="720"/>
      <w:contextualSpacing/>
    </w:pPr>
  </w:style>
  <w:style w:type="paragraph" w:styleId="ac">
    <w:name w:val="envelope address"/>
    <w:basedOn w:val="a"/>
    <w:uiPriority w:val="99"/>
    <w:semiHidden/>
    <w:unhideWhenUsed/>
    <w:rsid w:val="00F17A9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table" w:styleId="ad">
    <w:name w:val="Table Grid"/>
    <w:basedOn w:val="a1"/>
    <w:uiPriority w:val="39"/>
    <w:rsid w:val="00F17A9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F17A9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17A90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basedOn w:val="a0"/>
    <w:link w:val="af"/>
    <w:uiPriority w:val="99"/>
    <w:semiHidden/>
    <w:rsid w:val="00F17A9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17A90"/>
    <w:rPr>
      <w:b/>
      <w:bCs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F17A90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F17A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3408</Words>
  <Characters>19427</Characters>
  <Application>Microsoft Office Word</Application>
  <DocSecurity>0</DocSecurity>
  <Lines>161</Lines>
  <Paragraphs>45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e.miteva</dc:creator>
  <cp:keywords/>
  <dc:description/>
  <cp:lastModifiedBy>p.hristova</cp:lastModifiedBy>
  <cp:revision>3</cp:revision>
  <dcterms:created xsi:type="dcterms:W3CDTF">2025-01-15T09:40:00Z</dcterms:created>
  <dcterms:modified xsi:type="dcterms:W3CDTF">2025-01-15T09:41:00Z</dcterms:modified>
</cp:coreProperties>
</file>